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8280" w:leader="none"/>
          <w:tab w:val="right" w:pos="10607" w:leader="none"/>
        </w:tabs>
        <w:rPr>
          <w:b/>
          <w:sz w:val="24"/>
          <w:szCs w:val="24"/>
        </w:rPr>
      </w:pPr>
      <w:r>
        <w:rPr>
          <w:sz w:val="26"/>
          <w:szCs w:val="26"/>
        </w:rPr>
        <w:tab/>
      </w:r>
      <w:r>
        <w:rPr>
          <w:b/>
          <w:sz w:val="24"/>
          <w:szCs w:val="24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ОКПД 71.12.13.000.007</w:t>
      </w:r>
      <w:r>
        <w:rPr>
          <w:rFonts w:eastAsia="Calibri"/>
          <w:b/>
          <w:sz w:val="26"/>
          <w:szCs w:val="26"/>
        </w:rPr>
        <w:t xml:space="preserve"> Выполнение</w:t>
      </w:r>
      <w:r>
        <w:rPr>
          <w:rFonts w:eastAsia="Calibri"/>
          <w:b/>
          <w:sz w:val="26"/>
          <w:szCs w:val="26"/>
        </w:rPr>
        <w:t xml:space="preserve"> проектно-изыскательских</w:t>
      </w:r>
      <w:r>
        <w:rPr>
          <w:rFonts w:eastAsia="Calibri"/>
          <w:b/>
          <w:sz w:val="26"/>
          <w:szCs w:val="26"/>
        </w:rPr>
        <w:t xml:space="preserve"> работ </w:t>
      </w:r>
      <w:r>
        <w:rPr>
          <w:rFonts w:eastAsia="Calibri"/>
          <w:b/>
          <w:sz w:val="26"/>
          <w:szCs w:val="26"/>
        </w:rPr>
        <w:t xml:space="preserve">ПНС Городская в г. Амурске</w:t>
      </w:r>
      <w:r>
        <w:rPr>
          <w:rFonts w:eastAsia="Calibri"/>
          <w:b/>
          <w:sz w:val="26"/>
          <w:szCs w:val="26"/>
        </w:rPr>
        <w:t xml:space="preserve">, для СП «Комсомольские тепловые сети» в рамках реализации инвест</w:t>
      </w:r>
      <w:r>
        <w:rPr>
          <w:rFonts w:eastAsia="Calibri"/>
          <w:b/>
          <w:sz w:val="26"/>
          <w:szCs w:val="26"/>
        </w:rPr>
        <w:t xml:space="preserve">иционного </w:t>
      </w:r>
      <w:r>
        <w:rPr>
          <w:rFonts w:eastAsia="Calibri"/>
          <w:b/>
          <w:sz w:val="26"/>
          <w:szCs w:val="26"/>
        </w:rPr>
        <w:t xml:space="preserve">проекта №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  <w:lang w:val="en-US"/>
        </w:rPr>
        <w:t xml:space="preserve">I</w:t>
      </w:r>
      <w:r>
        <w:rPr>
          <w:rFonts w:eastAsia="Calibri"/>
          <w:b/>
          <w:sz w:val="24"/>
          <w:szCs w:val="24"/>
        </w:rPr>
        <w:t xml:space="preserve">_505-</w:t>
      </w:r>
      <w:r>
        <w:rPr>
          <w:rFonts w:eastAsia="Calibri"/>
          <w:b/>
          <w:sz w:val="26"/>
          <w:szCs w:val="26"/>
        </w:rPr>
        <w:t xml:space="preserve">ХТСКх-63</w:t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Лот № </w:t>
      </w:r>
      <w:r>
        <w:rPr>
          <w:b/>
        </w:rPr>
        <w:t xml:space="preserve">22125011</w:t>
      </w:r>
      <w:r>
        <w:rPr>
          <w:b/>
        </w:rPr>
        <w:t xml:space="preserve">-ТПИР ОБСЛ-2026-ДГК-КТС</w:t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</w:p>
    <w:p>
      <w:pPr>
        <w:pStyle w:val="101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54646395" w:anchor="_Toc54646395" w:history="1">
        <w:r>
          <w:rPr>
            <w:rStyle w:val="1015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1015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_Toc54646395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2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396" w:anchor="_Toc54646396" w:history="1">
        <w:r>
          <w:rPr>
            <w:rStyle w:val="1015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_Toc54646396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2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397" w:anchor="_Toc54646397" w:history="1">
        <w:r>
          <w:rPr>
            <w:rStyle w:val="1015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_Toc54646397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26"/>
      </w:pPr>
      <w:r/>
      <w:hyperlink w:tooltip="#_Toc54646398" w:anchor="_Toc54646398" w:history="1">
        <w:r>
          <w:rPr>
            <w:rStyle w:val="1015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</w:rPr>
          <w:t xml:space="preserve">Цель выполнения работ </w:t>
        </w:r>
        <w:r>
          <w:tab/>
        </w:r>
        <w:r>
          <w:fldChar w:fldCharType="begin"/>
        </w:r>
        <w:r>
          <w:instrText xml:space="preserve"> PAGEREF _Toc54646398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ind w:left="567"/>
        <w:rPr>
          <w:rStyle w:val="1015"/>
          <w:rFonts w:cstheme="minorHAnsi"/>
          <w:iCs/>
          <w:color w:val="auto"/>
          <w:sz w:val="20"/>
          <w:szCs w:val="20"/>
          <w:u w:val="none"/>
        </w:rPr>
      </w:pPr>
      <w:r>
        <w:rPr>
          <w:rStyle w:val="1015"/>
          <w:rFonts w:cstheme="minorHAnsi"/>
          <w:iCs/>
          <w:color w:val="auto"/>
          <w:sz w:val="20"/>
          <w:szCs w:val="20"/>
          <w:u w:val="none"/>
        </w:rPr>
        <w:t xml:space="preserve">1.4.     Существующие положения   …………………………………………………………………………………4</w:t>
      </w:r>
      <w:r>
        <w:rPr>
          <w:rStyle w:val="1015"/>
          <w:rFonts w:cstheme="minorHAnsi"/>
          <w:iCs/>
          <w:color w:val="auto"/>
          <w:sz w:val="20"/>
          <w:szCs w:val="20"/>
          <w:u w:val="none"/>
        </w:rPr>
      </w:r>
    </w:p>
    <w:p>
      <w:pPr>
        <w:pStyle w:val="1026"/>
      </w:pPr>
      <w:r/>
      <w:r/>
    </w:p>
    <w:p>
      <w:pPr>
        <w:pStyle w:val="101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0" w:anchor="_Toc54646400" w:history="1">
        <w:r>
          <w:rPr>
            <w:rStyle w:val="1015"/>
          </w:rPr>
          <w:t xml:space="preserve">Таблица 1. Перечень объектов заказчика</w:t>
        </w:r>
        <w:r>
          <w:tab/>
        </w:r>
        <w:r>
          <w:fldChar w:fldCharType="begin"/>
        </w:r>
        <w:r>
          <w:instrText xml:space="preserve"> PAGEREF _Toc54646400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26"/>
      </w:pPr>
      <w:r/>
      <w:hyperlink w:tooltip="#_Toc54646401" w:anchor="_Toc54646401" w:history="1">
        <w:r>
          <w:rPr>
            <w:rStyle w:val="1015"/>
            <w:color w:val="auto"/>
          </w:rPr>
          <w:t xml:space="preserve">1.5.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  <w:color w:val="auto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>
          <w:tab/>
        </w:r>
      </w:hyperlink>
      <w:r>
        <w:t xml:space="preserve">5</w:t>
      </w:r>
      <w:r/>
    </w:p>
    <w:p>
      <w:pPr>
        <w:pStyle w:val="1026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101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3" w:anchor="_Toc54646403" w:history="1">
        <w:r>
          <w:rPr>
            <w:rStyle w:val="1015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1015"/>
            <w:iCs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_Toc54646403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26"/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4" w:anchor="_Toc54646404" w:history="1">
        <w:r>
          <w:rPr>
            <w:rStyle w:val="1015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</w:rPr>
          <w:t xml:space="preserve">Требования к объемам и срокам выполнения работ</w:t>
        </w:r>
        <w:r>
          <w:tab/>
        </w:r>
        <w:r>
          <w:fldChar w:fldCharType="begin"/>
        </w:r>
        <w:r>
          <w:instrText xml:space="preserve"> PAGEREF _Toc54646404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14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5" w:anchor="_Toc54646405" w:history="1">
        <w:r>
          <w:rPr>
            <w:rStyle w:val="1015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</w:rPr>
          <w:t xml:space="preserve">Требования к видам и объемам работ</w:t>
        </w:r>
        <w:r>
          <w:tab/>
        </w:r>
        <w:r>
          <w:fldChar w:fldCharType="begin"/>
        </w:r>
        <w:r>
          <w:instrText xml:space="preserve"> PAGEREF _Toc54646405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1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6" w:anchor="_Toc54646406" w:history="1">
        <w:r>
          <w:rPr>
            <w:rStyle w:val="1015"/>
          </w:rPr>
          <w:t xml:space="preserve">Таблица 2. Перечень и объем выполняемых работ</w:t>
        </w:r>
        <w:r>
          <w:tab/>
        </w:r>
        <w:r>
          <w:fldChar w:fldCharType="begin"/>
        </w:r>
        <w:r>
          <w:instrText xml:space="preserve"> PAGEREF _Toc54646406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14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7" w:anchor="_Toc54646407" w:history="1">
        <w:r>
          <w:rPr>
            <w:rStyle w:val="1015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1015"/>
          </w:rPr>
          <w:t xml:space="preserve">Требования к срокам выполнения работ</w:t>
        </w:r>
        <w:r>
          <w:tab/>
        </w:r>
        <w:r>
          <w:fldChar w:fldCharType="begin"/>
        </w:r>
        <w:r>
          <w:instrText xml:space="preserve"> PAGEREF _Toc54646407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1013"/>
        <w:tabs>
          <w:tab w:val="right" w:pos="9911" w:leader="dot"/>
        </w:tabs>
      </w:pPr>
      <w:r/>
      <w:hyperlink w:tooltip="#_Toc54646408" w:anchor="_Toc54646408" w:history="1">
        <w:r>
          <w:rPr>
            <w:rStyle w:val="1015"/>
          </w:rPr>
          <w:t xml:space="preserve">Таблица 3. Требования по срокам выполнения работ</w:t>
        </w:r>
        <w:r>
          <w:tab/>
        </w:r>
        <w:r>
          <w:fldChar w:fldCharType="begin"/>
        </w:r>
        <w:r>
          <w:instrText xml:space="preserve"> PAGEREF _Toc54646408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rPr>
          <w:rFonts w:eastAsiaTheme="minorEastAsia"/>
        </w:rPr>
      </w:pPr>
      <w:r>
        <w:rPr>
          <w:rFonts w:eastAsiaTheme="minorEastAsia"/>
          <w:sz w:val="20"/>
          <w:szCs w:val="20"/>
        </w:rPr>
        <w:t xml:space="preserve">2.2. Требования к качеству работ……………………………………………………………………………………………</w:t>
      </w:r>
      <w:r>
        <w:rPr>
          <w:rFonts w:eastAsiaTheme="minorEastAsia"/>
        </w:rPr>
      </w:r>
    </w:p>
    <w:p>
      <w:pPr>
        <w:pStyle w:val="101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0" w:anchor="_Toc54646410" w:history="1">
        <w:r>
          <w:rPr>
            <w:rStyle w:val="1015"/>
          </w:rPr>
          <w:t xml:space="preserve">Таблица 4. Требования к качеству работ</w:t>
        </w:r>
        <w:r>
          <w:tab/>
        </w:r>
        <w:r>
          <w:fldChar w:fldCharType="begin"/>
        </w:r>
        <w:r>
          <w:instrText xml:space="preserve"> PAGEREF _Toc54646410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1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1" w:anchor="_Toc54646411" w:history="1">
        <w:r>
          <w:rPr>
            <w:rStyle w:val="1015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1015"/>
          </w:rPr>
          <w:t xml:space="preserve">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_Toc54646411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1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2" w:anchor="_Toc54646412" w:history="1">
        <w:r>
          <w:rPr>
            <w:rStyle w:val="1015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1015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_Toc54646412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1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3" w:anchor="_Toc54646413" w:history="1">
        <w:r>
          <w:rPr>
            <w:rStyle w:val="1015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1015"/>
            <w:iCs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_Toc54646413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101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835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</w:rPr>
        <w:fldChar w:fldCharType="end"/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</w:p>
    <w:p>
      <w:pPr>
        <w:pStyle w:val="834"/>
        <w:ind w:left="357" w:hanging="357"/>
        <w:jc w:val="center"/>
        <w:keepLines/>
        <w:rPr>
          <w:caps/>
        </w:rPr>
      </w:pPr>
      <w:r/>
      <w:bookmarkStart w:id="0" w:name="_Toc51339692"/>
      <w:r/>
      <w:bookmarkStart w:id="1" w:name="_Toc54646395"/>
      <w:r>
        <w:t xml:space="preserve">Общие сведения</w:t>
      </w:r>
      <w:bookmarkEnd w:id="0"/>
      <w:r/>
      <w:bookmarkEnd w:id="1"/>
      <w:r/>
      <w:r>
        <w:rPr>
          <w:caps/>
        </w:rPr>
      </w:r>
    </w:p>
    <w:p>
      <w:pPr>
        <w:pStyle w:val="837"/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1076"/>
          <w:b w:val="0"/>
          <w:bCs/>
          <w:i w:val="0"/>
          <w:iCs/>
          <w:sz w:val="26"/>
          <w:szCs w:val="26"/>
        </w:rPr>
      </w:pPr>
      <w:r>
        <w:rPr>
          <w:b w:val="0"/>
          <w:bCs/>
          <w:i w:val="0"/>
          <w:iCs/>
          <w:sz w:val="26"/>
          <w:szCs w:val="26"/>
        </w:rPr>
      </w:r>
      <w:r>
        <w:rPr>
          <w:rStyle w:val="1076"/>
          <w:b w:val="0"/>
          <w:bCs/>
          <w:i w:val="0"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384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РТМ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Руководящий технический материал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НТД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Нормативно-техническая документация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СП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Свод правил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МДС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Методические документы в строительстве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ВСН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Ведомственные строительные нормы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ГОСТ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Государственный стандарт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Рабочая документация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ОДМ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Отраслевой дорожный методический документ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СНиП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Санитарные нормы и правила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СО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Стандарт организации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ТПСД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Технологическая сеть передачи данных</w:t>
            </w:r>
            <w:r>
              <w:rPr>
                <w:rStyle w:val="1076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spacing w:line="276" w:lineRule="auto"/>
      </w:pPr>
      <w:r/>
      <w:bookmarkStart w:id="4" w:name="_Toc54646397"/>
      <w:r>
        <w:t xml:space="preserve">Наименование закупаемой продукции</w:t>
      </w:r>
      <w:bookmarkEnd w:id="4"/>
      <w:r/>
      <w:r/>
    </w:p>
    <w:p>
      <w:pPr>
        <w:jc w:val="both"/>
        <w:keepLines/>
        <w:keepNext/>
        <w:rPr>
          <w:rFonts w:eastAsia="Calibri"/>
          <w:sz w:val="26"/>
          <w:szCs w:val="26"/>
        </w:rPr>
      </w:pPr>
      <w:r/>
      <w:bookmarkStart w:id="5" w:name="_Toc46743507"/>
      <w:r/>
      <w:bookmarkStart w:id="6" w:name="_Toc54646398"/>
      <w:r>
        <w:rPr>
          <w:sz w:val="24"/>
          <w:szCs w:val="24"/>
        </w:rPr>
        <w:t xml:space="preserve">ОКПД 71.12.13.000.007</w:t>
      </w:r>
      <w:r>
        <w:rPr>
          <w:sz w:val="24"/>
          <w:szCs w:val="24"/>
        </w:rPr>
        <w:t xml:space="preserve"> Выполнение </w:t>
      </w:r>
      <w:r>
        <w:rPr>
          <w:sz w:val="24"/>
          <w:szCs w:val="24"/>
        </w:rPr>
        <w:t xml:space="preserve">проектно-изыскательских работ ПНС Городская в г. Амурске</w:t>
      </w:r>
      <w:r>
        <w:rPr>
          <w:rFonts w:eastAsia="Calibri"/>
          <w:sz w:val="24"/>
          <w:szCs w:val="24"/>
        </w:rPr>
        <w:t xml:space="preserve"> в рамках реализации инвест</w:t>
      </w:r>
      <w:r>
        <w:rPr>
          <w:rFonts w:eastAsia="Calibri"/>
          <w:sz w:val="24"/>
          <w:szCs w:val="24"/>
        </w:rPr>
        <w:t xml:space="preserve">иционного </w:t>
      </w:r>
      <w:r>
        <w:rPr>
          <w:rFonts w:eastAsia="Calibri"/>
          <w:sz w:val="24"/>
          <w:szCs w:val="24"/>
        </w:rPr>
        <w:t xml:space="preserve">проекта № </w:t>
      </w:r>
      <w:r>
        <w:rPr>
          <w:rFonts w:eastAsia="Calibri"/>
          <w:sz w:val="24"/>
          <w:szCs w:val="24"/>
          <w:lang w:val="en-US"/>
        </w:rPr>
        <w:t xml:space="preserve">I</w:t>
      </w:r>
      <w:r>
        <w:rPr>
          <w:rFonts w:eastAsia="Calibri"/>
          <w:sz w:val="24"/>
          <w:szCs w:val="24"/>
        </w:rPr>
        <w:t xml:space="preserve">_505-ХТСКх</w:t>
      </w:r>
      <w:r>
        <w:rPr>
          <w:rFonts w:eastAsia="Calibri"/>
          <w:sz w:val="26"/>
          <w:szCs w:val="26"/>
        </w:rPr>
        <w:t xml:space="preserve">-63</w:t>
      </w:r>
      <w:r>
        <w:rPr>
          <w:rFonts w:eastAsia="Calibri"/>
          <w:sz w:val="26"/>
          <w:szCs w:val="26"/>
        </w:rPr>
      </w:r>
    </w:p>
    <w:p>
      <w:pPr>
        <w:jc w:val="both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837"/>
        <w:spacing w:line="276" w:lineRule="auto"/>
        <w:rPr>
          <w:rStyle w:val="1076"/>
          <w:b/>
          <w:i w:val="0"/>
        </w:rPr>
      </w:pPr>
      <w:r>
        <w:t xml:space="preserve">Цель </w:t>
      </w:r>
      <w:bookmarkEnd w:id="5"/>
      <w:r>
        <w:t xml:space="preserve">выполнения работ </w:t>
      </w:r>
      <w:bookmarkEnd w:id="6"/>
      <w:r/>
      <w:r>
        <w:rPr>
          <w:rStyle w:val="1076"/>
          <w:b/>
          <w:i w:val="0"/>
        </w:rPr>
      </w:r>
    </w:p>
    <w:p>
      <w:pPr>
        <w:ind w:right="60" w:firstLine="313"/>
        <w:spacing w:line="276" w:lineRule="auto"/>
        <w:tabs>
          <w:tab w:val="left" w:pos="510" w:leader="none"/>
        </w:tabs>
        <w:rPr>
          <w:color w:val="000000" w:themeColor="text1"/>
          <w:sz w:val="24"/>
          <w:szCs w:val="24"/>
        </w:rPr>
      </w:pPr>
      <w:r>
        <w:rPr>
          <w:rFonts w:eastAsia="Calibri"/>
          <w:sz w:val="24"/>
          <w:szCs w:val="24"/>
        </w:rPr>
        <w:t xml:space="preserve">Целью работы </w:t>
      </w:r>
      <w:r>
        <w:rPr>
          <w:rFonts w:eastAsia="Calibri"/>
          <w:sz w:val="24"/>
          <w:szCs w:val="24"/>
        </w:rPr>
        <w:t xml:space="preserve">является </w:t>
      </w:r>
      <w:r>
        <w:rPr>
          <w:color w:val="000000" w:themeColor="text1"/>
          <w:sz w:val="24"/>
          <w:szCs w:val="24"/>
          <w:lang w:eastAsia="en-US"/>
        </w:rPr>
        <w:t xml:space="preserve">строительство</w:t>
      </w:r>
      <w:r>
        <w:rPr>
          <w:color w:val="000000" w:themeColor="text1"/>
          <w:sz w:val="24"/>
          <w:szCs w:val="24"/>
          <w:lang w:eastAsia="en-US"/>
        </w:rPr>
        <w:t xml:space="preserve"> повысительной насосной станции</w:t>
      </w:r>
      <w:r>
        <w:rPr>
          <w:color w:val="000000" w:themeColor="text1"/>
          <w:sz w:val="24"/>
          <w:szCs w:val="24"/>
          <w:lang w:eastAsia="en-US"/>
        </w:rPr>
        <w:t xml:space="preserve"> в </w:t>
      </w:r>
      <w:r>
        <w:rPr>
          <w:color w:val="000000" w:themeColor="text1"/>
          <w:sz w:val="24"/>
          <w:szCs w:val="24"/>
          <w:lang w:eastAsia="en-US"/>
        </w:rPr>
        <w:t xml:space="preserve">г. Амурске (</w:t>
      </w:r>
      <w:r>
        <w:rPr>
          <w:color w:val="000000" w:themeColor="text1"/>
          <w:sz w:val="24"/>
          <w:szCs w:val="24"/>
          <w:lang w:eastAsia="en-US"/>
        </w:rPr>
        <w:t xml:space="preserve">тип здания определить проектом и согласовать с СП «Комсомольские тепловые сети» АО «ДГК») с подключением нагрузки от теплотрассы №15.</w:t>
      </w:r>
      <w:r>
        <w:rPr>
          <w:color w:val="000000" w:themeColor="text1"/>
          <w:sz w:val="24"/>
          <w:szCs w:val="24"/>
        </w:rPr>
      </w:r>
    </w:p>
    <w:p>
      <w:pPr>
        <w:jc w:val="both"/>
        <w:spacing w:before="120" w:after="120" w:line="276" w:lineRule="auto"/>
        <w:widowControl w:val="off"/>
        <w:tabs>
          <w:tab w:val="left" w:pos="42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837"/>
        <w:rPr>
          <w:sz w:val="23"/>
          <w:szCs w:val="23"/>
        </w:rPr>
      </w:pPr>
      <w:r>
        <w:rPr>
          <w:sz w:val="23"/>
          <w:szCs w:val="23"/>
        </w:rPr>
        <w:t xml:space="preserve">Существующее положение</w:t>
      </w:r>
      <w:r>
        <w:rPr>
          <w:sz w:val="23"/>
          <w:szCs w:val="23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1.4.</w:t>
      </w:r>
      <w:r>
        <w:rPr>
          <w:sz w:val="24"/>
          <w:szCs w:val="23"/>
        </w:rPr>
        <w:t xml:space="preserve">1 Работы выполняются в рамках реализации инвестиционного проекта «</w:t>
      </w:r>
      <w:r>
        <w:rPr>
          <w:sz w:val="24"/>
          <w:szCs w:val="24"/>
        </w:rPr>
        <w:t xml:space="preserve">Выполнение проектно-изыскательских работ ПНС Городская в г. Амурске</w:t>
      </w:r>
      <w:r>
        <w:rPr>
          <w:rFonts w:eastAsia="Calibri"/>
          <w:sz w:val="24"/>
          <w:szCs w:val="24"/>
        </w:rPr>
        <w:t xml:space="preserve"> в рамках реализации инвестиционного проекта № </w:t>
      </w:r>
      <w:r>
        <w:rPr>
          <w:rFonts w:eastAsia="Calibri"/>
          <w:sz w:val="24"/>
          <w:szCs w:val="24"/>
          <w:lang w:val="en-US"/>
        </w:rPr>
        <w:t xml:space="preserve">I</w:t>
      </w:r>
      <w:r>
        <w:rPr>
          <w:rFonts w:eastAsia="Calibri"/>
          <w:sz w:val="24"/>
          <w:szCs w:val="24"/>
        </w:rPr>
        <w:t xml:space="preserve">_505-ХТСКх</w:t>
      </w:r>
      <w:r>
        <w:rPr>
          <w:rFonts w:eastAsia="Calibri"/>
          <w:sz w:val="26"/>
          <w:szCs w:val="26"/>
        </w:rPr>
        <w:t xml:space="preserve">-63</w:t>
      </w:r>
      <w:r>
        <w:rPr>
          <w:sz w:val="24"/>
          <w:szCs w:val="23"/>
        </w:rPr>
        <w:t xml:space="preserve">».</w:t>
      </w:r>
      <w:r>
        <w:rPr>
          <w:sz w:val="23"/>
          <w:szCs w:val="23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/>
      <w:bookmarkStart w:id="7" w:name="_Toc54646400"/>
      <w:r>
        <w:rPr>
          <w:sz w:val="24"/>
          <w:szCs w:val="24"/>
        </w:rPr>
        <w:t xml:space="preserve">Таблица 1. Перечень объектов заказчика</w:t>
      </w:r>
      <w:bookmarkEnd w:id="7"/>
      <w:r/>
      <w:r>
        <w:rPr>
          <w:sz w:val="24"/>
          <w:szCs w:val="24"/>
        </w:rPr>
      </w:r>
    </w:p>
    <w:tbl>
      <w:tblPr>
        <w:tblW w:w="10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2"/>
        <w:gridCol w:w="3118"/>
        <w:gridCol w:w="2268"/>
        <w:gridCol w:w="2126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tcW w:w="817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0"/>
              </w:numPr>
            </w:pPr>
            <w:r/>
            <w:r/>
          </w:p>
        </w:tc>
        <w:tc>
          <w:tcPr>
            <w:shd w:val="clear" w:color="auto" w:fill="auto"/>
            <w:tcW w:w="184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проектно-изыскательских работ ПНС Городская в г. Амурске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11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2"/>
              </w:rPr>
              <w:t xml:space="preserve">Российская Федерация</w:t>
            </w:r>
            <w:r>
              <w:rPr>
                <w:sz w:val="24"/>
                <w:szCs w:val="24"/>
              </w:rPr>
              <w:t xml:space="preserve">, Хабаровский край,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 Амурск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tabs>
                <w:tab w:val="left" w:pos="39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ПНС Городская г. Амурск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(инв.№</w:t>
            </w:r>
            <w:r>
              <w:rPr>
                <w:sz w:val="24"/>
                <w:szCs w:val="24"/>
              </w:rPr>
              <w:t xml:space="preserve"> С 14150000000009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СП «Комсомольские тепловые сети»</w:t>
            </w:r>
            <w:r>
              <w:rPr>
                <w:sz w:val="24"/>
                <w:szCs w:val="24"/>
              </w:rPr>
              <w:t xml:space="preserve"> ул.Пендрие,6</w:t>
            </w:r>
            <w:bookmarkStart w:id="8" w:name="_GoBack"/>
            <w:r/>
            <w:bookmarkEnd w:id="8"/>
            <w:r/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pStyle w:val="837"/>
        <w:ind w:left="0" w:firstLine="567"/>
        <w:jc w:val="both"/>
      </w:pPr>
      <w:r/>
      <w:bookmarkStart w:id="9" w:name="_Toc46743509"/>
      <w:r/>
      <w:bookmarkStart w:id="10" w:name="_Hlk49857604"/>
      <w:r/>
      <w:bookmarkStart w:id="11" w:name="_Toc51339693"/>
      <w:r/>
      <w:bookmarkStart w:id="12" w:name="_Toc54646403"/>
      <w:r/>
      <w:bookmarkStart w:id="13" w:name="_Toc50125126"/>
      <w:r/>
      <w:bookmarkStart w:id="14" w:name="_Toc46743510"/>
      <w:r>
        <w:t xml:space="preserve">Информация в отношении исполнения договора, </w:t>
      </w:r>
      <w:bookmarkStart w:id="15" w:name="_Hlk46492347"/>
      <w:r>
        <w:t xml:space="preserve">которая должна быть учтена при подготовке заявки </w:t>
      </w:r>
      <w:bookmarkEnd w:id="15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/>
      <w:bookmarkEnd w:id="10"/>
      <w:r/>
      <w:r/>
    </w:p>
    <w:p>
      <w:pPr>
        <w:jc w:val="both"/>
      </w:pPr>
      <w:r>
        <w:rPr>
          <w:sz w:val="24"/>
        </w:rPr>
        <w:t xml:space="preserve">1.5.1.</w:t>
      </w:r>
      <w:r>
        <w:rPr>
          <w:sz w:val="22"/>
          <w:szCs w:val="22"/>
          <w:lang w:bidi="ru-RU"/>
        </w:rPr>
        <w:t xml:space="preserve"> </w:t>
      </w:r>
      <w:r>
        <w:rPr>
          <w:sz w:val="22"/>
          <w:szCs w:val="22"/>
          <w:lang w:bidi="ru-RU"/>
        </w:rPr>
        <w:t xml:space="preserve">Участнику закупки для подготовки полноценной заявки необходимо принять во внимание, что Участнику необходимо будет пройти </w:t>
      </w:r>
      <w:r>
        <w:rPr>
          <w:sz w:val="22"/>
          <w:szCs w:val="22"/>
          <w:lang w:eastAsia="en-US" w:bidi="ru-RU"/>
        </w:rPr>
        <w:t xml:space="preserve">государственную экспертизу проектной документации и инженерных изысканий с получением положительного заключения, а т.ж. оформить в соответствии с действующим законодательством, в интересах Заказчика необходимые правоустанавливающие документы на земельны</w:t>
      </w:r>
      <w:r>
        <w:rPr>
          <w:sz w:val="22"/>
          <w:szCs w:val="22"/>
          <w:lang w:eastAsia="en-US" w:bidi="ru-RU"/>
        </w:rPr>
        <w:t xml:space="preserve">й участок, позволяющих осуществить строительство здания тепловой насосной станции (ТНС) с последующей регистрации право собственности Заказчика на здание. Проектная и рабочая документация должна в обязательном порядке быть согласована и зарегистрирована в </w:t>
      </w:r>
      <w:r>
        <w:rPr>
          <w:sz w:val="22"/>
          <w:szCs w:val="22"/>
          <w:lang w:eastAsia="en-US" w:bidi="ru-RU"/>
        </w:rPr>
        <w:t xml:space="preserve">Управлении Градостроительства и Архитектуры города Амурска.</w:t>
      </w:r>
      <w:r>
        <w:t xml:space="preserve"> </w:t>
      </w:r>
      <w:r/>
    </w:p>
    <w:p>
      <w:pPr>
        <w:jc w:val="both"/>
        <w:rPr>
          <w:sz w:val="22"/>
          <w:szCs w:val="22"/>
          <w:lang w:eastAsia="en-US" w:bidi="ru-RU"/>
        </w:rPr>
      </w:pPr>
      <w:r>
        <w:rPr>
          <w:sz w:val="22"/>
          <w:szCs w:val="22"/>
          <w:lang w:eastAsia="en-US" w:bidi="ru-RU"/>
        </w:rPr>
      </w:r>
      <w:r>
        <w:rPr>
          <w:sz w:val="22"/>
          <w:szCs w:val="22"/>
          <w:lang w:eastAsia="en-US" w:bidi="ru-RU"/>
        </w:rPr>
      </w:r>
    </w:p>
    <w:p>
      <w:pPr>
        <w:pStyle w:val="837"/>
        <w:numPr>
          <w:ilvl w:val="0"/>
          <w:numId w:val="0"/>
        </w:numPr>
        <w:ind w:left="993" w:hanging="426"/>
        <w:jc w:val="both"/>
        <w:spacing w:line="283" w:lineRule="atLeast"/>
        <w:rPr>
          <w:lang w:bidi="ru-RU"/>
        </w:rPr>
      </w:pPr>
      <w:r>
        <w:rPr>
          <w:lang w:bidi="ru-RU"/>
        </w:rPr>
        <w:t xml:space="preserve">1.</w:t>
      </w:r>
      <w:r>
        <w:rPr>
          <w:lang w:bidi="ru-RU"/>
        </w:rPr>
        <w:t xml:space="preserve">6. Иные</w:t>
      </w:r>
      <w:r>
        <w:rPr>
          <w:lang w:bidi="ru-RU"/>
        </w:rPr>
        <w:t xml:space="preserve"> требования и сведения общего характера</w:t>
      </w:r>
      <w:r>
        <w:rPr>
          <w:lang w:bidi="ru-RU"/>
        </w:rPr>
      </w:r>
    </w:p>
    <w:p>
      <w:pPr>
        <w:ind w:firstLine="567"/>
        <w:jc w:val="both"/>
        <w:spacing w:line="283" w:lineRule="atLeast"/>
        <w:tabs>
          <w:tab w:val="left" w:pos="0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Дополнительные данные предоставляются Заказчиком по письменному запросу Подрядчика.</w:t>
      </w:r>
      <w:r>
        <w:rPr>
          <w:sz w:val="24"/>
          <w:szCs w:val="24"/>
        </w:rPr>
      </w:r>
    </w:p>
    <w:p>
      <w:pPr>
        <w:ind w:firstLine="567"/>
        <w:jc w:val="both"/>
        <w:spacing w:line="283" w:lineRule="atLeast"/>
        <w:tabs>
          <w:tab w:val="left" w:pos="0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- В течение 3 (трех) рабочих дней с даты официальной публикации протокола заседания Закупочной комиссии о выборе Победителя, Победитель закупки предоставляет Заказчику сметную документацию к Сводной смете.</w:t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highlight w:val="yellow"/>
        </w:rPr>
      </w:pPr>
      <w:r>
        <w:rPr>
          <w:sz w:val="24"/>
        </w:rPr>
        <w:t xml:space="preserve">.</w:t>
      </w:r>
      <w:r>
        <w:rPr>
          <w:sz w:val="24"/>
          <w:highlight w:val="yellow"/>
        </w:rPr>
      </w:r>
    </w:p>
    <w:p>
      <w:pPr>
        <w:ind w:firstLine="567"/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4"/>
        <w:ind w:left="357" w:hanging="357"/>
        <w:jc w:val="center"/>
        <w:keepLines/>
        <w:rPr>
          <w:iCs/>
          <w:caps/>
        </w:rPr>
      </w:pPr>
      <w:r>
        <w:rPr>
          <w:iCs/>
        </w:rPr>
        <w:t xml:space="preserve">Требования к продукции</w:t>
      </w:r>
      <w:bookmarkEnd w:id="11"/>
      <w:r/>
      <w:bookmarkEnd w:id="12"/>
      <w:r/>
      <w:r>
        <w:rPr>
          <w:iCs/>
          <w:caps/>
        </w:rPr>
      </w:r>
    </w:p>
    <w:p>
      <w:pPr>
        <w:pStyle w:val="837"/>
      </w:pPr>
      <w:r/>
      <w:bookmarkStart w:id="16" w:name="_Toc54646404"/>
      <w:r>
        <w:t xml:space="preserve">Требования к объемам и срокам выполнения работ</w:t>
      </w:r>
      <w:bookmarkEnd w:id="16"/>
      <w:r/>
      <w:r/>
    </w:p>
    <w:p>
      <w:pPr>
        <w:pStyle w:val="836"/>
      </w:pPr>
      <w:r/>
      <w:bookmarkStart w:id="17" w:name="_Toc54646405"/>
      <w:r>
        <w:t xml:space="preserve">Требования к видам и объемам работ</w:t>
      </w:r>
      <w:bookmarkEnd w:id="17"/>
      <w:r/>
      <w:r/>
    </w:p>
    <w:p>
      <w:pPr>
        <w:pStyle w:val="83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8" w:name="_Toc51339695"/>
      <w:r/>
      <w:bookmarkStart w:id="19" w:name="_Toc54646406"/>
      <w:r>
        <w:rPr>
          <w:sz w:val="24"/>
          <w:szCs w:val="24"/>
        </w:rPr>
        <w:t xml:space="preserve">Таблица 2. Перечень </w:t>
      </w:r>
      <w:bookmarkEnd w:id="18"/>
      <w:r>
        <w:rPr>
          <w:sz w:val="24"/>
          <w:szCs w:val="24"/>
        </w:rPr>
        <w:t xml:space="preserve">и объем выполняемых работ</w:t>
      </w:r>
      <w:bookmarkEnd w:id="19"/>
      <w:r/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6"/>
        <w:gridCol w:w="1984"/>
        <w:gridCol w:w="2130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W w:w="484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W w:w="213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1"/>
              </w:numPr>
            </w:pPr>
            <w:r/>
            <w:r/>
          </w:p>
        </w:tc>
        <w:tc>
          <w:tcPr>
            <w:tcBorders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исходных данных. Предпроектное обследование.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условная единица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1"/>
              </w:numPr>
            </w:pPr>
            <w:r/>
            <w:r/>
          </w:p>
        </w:tc>
        <w:tc>
          <w:tcPr>
            <w:tcBorders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комплексных инженерных изысканий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условная единица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1"/>
              </w:numPr>
            </w:pPr>
            <w:r/>
            <w:r/>
          </w:p>
        </w:tc>
        <w:tc>
          <w:tcPr>
            <w:tcBorders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Разработка и согласование проектной документации, согласование</w:t>
            </w:r>
            <w:r>
              <w:rPr>
                <w:color w:val="000000" w:themeColor="text1"/>
                <w:spacing w:val="-5"/>
                <w:sz w:val="24"/>
                <w:szCs w:val="24"/>
                <w:highlight w:val="white"/>
                <w:lang w:eastAsia="en-US" w:bidi="ru-RU"/>
              </w:rPr>
              <w:t xml:space="preserve"> в Управлении Градостроительства и Архитектуры города Амурска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1"/>
              </w:numPr>
            </w:pPr>
            <w:r/>
            <w:r/>
          </w:p>
        </w:tc>
        <w:tc>
          <w:tcPr>
            <w:tcBorders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Государственная экспертиза проектной </w:t>
            </w:r>
            <w:r>
              <w:rPr>
                <w:color w:val="000000" w:themeColor="text1"/>
                <w:sz w:val="24"/>
                <w:szCs w:val="24"/>
              </w:rPr>
              <w:t xml:space="preserve">документации и сметной документации  инженерных изысканий с получением положительного заключения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условная </w:t>
            </w:r>
            <w:r>
              <w:rPr>
                <w:sz w:val="24"/>
                <w:szCs w:val="24"/>
              </w:rPr>
              <w:t xml:space="preserve">единица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1"/>
              </w:numPr>
            </w:pPr>
            <w:r/>
            <w:r/>
          </w:p>
        </w:tc>
        <w:tc>
          <w:tcPr>
            <w:tcBorders>
              <w:right w:val="single" w:color="auto" w:sz="4" w:space="0"/>
            </w:tcBorders>
            <w:tcW w:w="484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Разработка рабочей документации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ff0000"/>
                <w:sz w:val="24"/>
                <w:szCs w:val="24"/>
              </w:rPr>
            </w:r>
          </w:p>
        </w:tc>
      </w:tr>
    </w:tbl>
    <w:p>
      <w:pPr>
        <w:pStyle w:val="836"/>
      </w:pPr>
      <w:r/>
      <w:bookmarkStart w:id="20" w:name="_Toc51339696"/>
      <w:r/>
      <w:bookmarkStart w:id="21" w:name="_Toc54646407"/>
      <w:r>
        <w:t xml:space="preserve">Требования </w:t>
      </w:r>
      <w:bookmarkEnd w:id="20"/>
      <w:r>
        <w:t xml:space="preserve">к срокам выполнения работ</w:t>
      </w:r>
      <w:bookmarkEnd w:id="21"/>
      <w:r/>
      <w:r/>
    </w:p>
    <w:p>
      <w:pPr>
        <w:rPr>
          <w:sz w:val="22"/>
          <w:szCs w:val="22"/>
        </w:rPr>
      </w:pPr>
      <w:r>
        <w:t xml:space="preserve">    </w:t>
      </w:r>
      <w:r>
        <w:rPr>
          <w:sz w:val="22"/>
          <w:szCs w:val="22"/>
        </w:rPr>
        <w:t xml:space="preserve">В соответствии календарным графиком к договору: с даты следующей за датой заключения договора по -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31.12.2026</w:t>
      </w:r>
      <w:r>
        <w:rPr>
          <w:sz w:val="22"/>
          <w:szCs w:val="22"/>
        </w:rPr>
        <w:t xml:space="preserve"> года.</w:t>
      </w:r>
      <w:r>
        <w:rPr>
          <w:sz w:val="22"/>
          <w:szCs w:val="22"/>
        </w:rPr>
      </w:r>
    </w:p>
    <w:p>
      <w:pPr>
        <w:pStyle w:val="83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2" w:name="_Toc50125127"/>
      <w:r/>
      <w:bookmarkStart w:id="23" w:name="_Toc51339697"/>
      <w:r/>
      <w:bookmarkStart w:id="24" w:name="_Toc54646408"/>
      <w:r/>
      <w:bookmarkEnd w:id="13"/>
      <w:r>
        <w:rPr>
          <w:sz w:val="24"/>
          <w:szCs w:val="24"/>
        </w:rPr>
        <w:t xml:space="preserve">Таблица 3.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</w:rPr>
        <w:t xml:space="preserve">выполнения работ</w:t>
      </w:r>
      <w:bookmarkEnd w:id="24"/>
      <w:r/>
      <w:r>
        <w:rPr>
          <w:sz w:val="24"/>
          <w:szCs w:val="24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7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7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Сбор исходных данных Предпроектное обследование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color w:val="000000" w:themeColor="text1"/>
                <w:sz w:val="24"/>
                <w:szCs w:val="24"/>
              </w:rPr>
              <w:t xml:space="preserve"> 20 календарных </w:t>
            </w:r>
            <w:r>
              <w:rPr>
                <w:color w:val="000000" w:themeColor="text1"/>
                <w:sz w:val="24"/>
                <w:szCs w:val="24"/>
              </w:rPr>
              <w:t xml:space="preserve">дней)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3"/>
              </w:numPr>
            </w:pPr>
            <w:r/>
            <w:bookmarkStart w:id="26" w:name="_Toc50125131"/>
            <w:r/>
            <w:bookmarkEnd w:id="14"/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Выполнение комплексных инженерных изысканий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после выполнения 1 этапа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(20 календарных </w:t>
            </w:r>
            <w:r>
              <w:rPr>
                <w:color w:val="000000" w:themeColor="text1"/>
                <w:sz w:val="24"/>
                <w:szCs w:val="24"/>
              </w:rPr>
              <w:t xml:space="preserve">дней)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Разработка и согласование проектной документации, </w:t>
            </w:r>
            <w:r>
              <w:rPr>
                <w:color w:val="000000" w:themeColor="text1"/>
                <w:sz w:val="24"/>
                <w:szCs w:val="24"/>
              </w:rPr>
              <w:t xml:space="preserve">согласование</w:t>
            </w:r>
            <w:r>
              <w:rPr>
                <w:color w:val="000000" w:themeColor="text1"/>
                <w:spacing w:val="-5"/>
                <w:sz w:val="24"/>
                <w:szCs w:val="24"/>
                <w:highlight w:val="white"/>
                <w:lang w:eastAsia="en-US" w:bidi="ru-RU"/>
              </w:rPr>
              <w:t xml:space="preserve"> в Управлении Градостроительства и Архитектуры города Амурска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после выполнения 2</w:t>
            </w:r>
            <w:r>
              <w:rPr>
                <w:color w:val="000000" w:themeColor="text1"/>
                <w:sz w:val="24"/>
                <w:szCs w:val="24"/>
              </w:rPr>
              <w:t xml:space="preserve"> этапа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(90 календарных </w:t>
            </w:r>
            <w:r>
              <w:rPr>
                <w:color w:val="000000" w:themeColor="text1"/>
                <w:sz w:val="24"/>
                <w:szCs w:val="24"/>
              </w:rPr>
              <w:t xml:space="preserve">дней)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Государственная экспертиза проектной документации и сметной </w:t>
            </w:r>
            <w:r>
              <w:rPr>
                <w:color w:val="000000" w:themeColor="text1"/>
                <w:sz w:val="24"/>
                <w:szCs w:val="24"/>
              </w:rPr>
              <w:t xml:space="preserve">документации  инженерных изысканий с получением положительного заключения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после выполнения  3 этапа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(42 календарных</w:t>
            </w:r>
            <w:r>
              <w:rPr>
                <w:color w:val="000000" w:themeColor="text1"/>
                <w:sz w:val="24"/>
                <w:szCs w:val="24"/>
              </w:rPr>
              <w:t xml:space="preserve"> дня)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Разработка рабочей документации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</w:t>
            </w:r>
            <w:r>
              <w:rPr>
                <w:color w:val="000000" w:themeColor="text1"/>
                <w:sz w:val="24"/>
                <w:szCs w:val="24"/>
              </w:rPr>
              <w:t xml:space="preserve">осле </w:t>
            </w:r>
            <w:r>
              <w:rPr>
                <w:color w:val="000000" w:themeColor="text1"/>
                <w:sz w:val="24"/>
                <w:szCs w:val="24"/>
              </w:rPr>
              <w:t xml:space="preserve">выполнения 3 этапа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31.12.2026</w:t>
            </w:r>
            <w:r>
              <w:rPr>
                <w:color w:val="ff0000"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shd w:val="nil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none"/>
        </w:rPr>
        <w:br w:type="page" w:clear="all"/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even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  <w:r/>
    </w:p>
    <w:p>
      <w:pPr>
        <w:pStyle w:val="837"/>
      </w:pPr>
      <w:r/>
      <w:bookmarkStart w:id="27" w:name="_Toc51339698"/>
      <w:r/>
      <w:bookmarkStart w:id="28" w:name="_Toc54646410"/>
      <w:r>
        <w:t xml:space="preserve">Требования к качеству работ</w:t>
      </w:r>
      <w:r/>
    </w:p>
    <w:p>
      <w:pPr>
        <w:pStyle w:val="83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26"/>
      <w:r/>
      <w:bookmarkEnd w:id="27"/>
      <w:r>
        <w:rPr>
          <w:sz w:val="24"/>
          <w:szCs w:val="24"/>
        </w:rPr>
        <w:t xml:space="preserve">качеству работ</w:t>
      </w:r>
      <w:bookmarkEnd w:id="2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-284"/>
        <w:jc w:val="both"/>
        <w:keepLines/>
        <w:keepNext/>
        <w:rPr>
          <w:rFonts w:eastAsia="Calibri"/>
          <w:b/>
          <w:sz w:val="26"/>
          <w:szCs w:val="26"/>
        </w:rPr>
      </w:pPr>
      <w:r>
        <w:rPr>
          <w:b/>
          <w:bCs/>
          <w:sz w:val="23"/>
          <w:szCs w:val="23"/>
        </w:rPr>
        <w:t xml:space="preserve">Наименование работ/этапа работ (позиция №1 Таблицы 2): </w:t>
      </w:r>
      <w:r>
        <w:rPr>
          <w:sz w:val="24"/>
          <w:szCs w:val="24"/>
        </w:rPr>
        <w:t xml:space="preserve">ОКПД 71.12.13.000.007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Выполнение проектно</w:t>
      </w:r>
      <w:r>
        <w:rPr>
          <w:sz w:val="24"/>
          <w:szCs w:val="24"/>
        </w:rPr>
        <w:t xml:space="preserve">-изыскательских </w:t>
      </w:r>
      <w:r>
        <w:rPr>
          <w:sz w:val="24"/>
          <w:szCs w:val="24"/>
        </w:rPr>
        <w:t xml:space="preserve">работ </w:t>
      </w:r>
      <w:r>
        <w:rPr>
          <w:sz w:val="24"/>
          <w:szCs w:val="24"/>
        </w:rPr>
        <w:t xml:space="preserve">ПНС Городская в г. Амурске</w:t>
      </w:r>
      <w:r>
        <w:rPr>
          <w:bCs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в рамках реализации инвест</w:t>
      </w:r>
      <w:r>
        <w:rPr>
          <w:rFonts w:eastAsia="Calibri"/>
          <w:sz w:val="24"/>
          <w:szCs w:val="24"/>
        </w:rPr>
        <w:t xml:space="preserve">иционного </w:t>
      </w:r>
      <w:r>
        <w:rPr>
          <w:rFonts w:eastAsia="Calibri"/>
          <w:sz w:val="24"/>
          <w:szCs w:val="24"/>
        </w:rPr>
        <w:t xml:space="preserve">проекта № </w:t>
      </w:r>
      <w:r>
        <w:rPr>
          <w:rFonts w:eastAsia="Calibri"/>
          <w:sz w:val="24"/>
          <w:szCs w:val="24"/>
          <w:lang w:val="en-US"/>
        </w:rPr>
        <w:t xml:space="preserve">I</w:t>
      </w:r>
      <w:r>
        <w:rPr>
          <w:rFonts w:eastAsia="Calibri"/>
          <w:sz w:val="24"/>
          <w:szCs w:val="24"/>
        </w:rPr>
        <w:t xml:space="preserve">_505-</w:t>
      </w:r>
      <w:r>
        <w:rPr>
          <w:rFonts w:eastAsia="Calibri"/>
          <w:sz w:val="26"/>
          <w:szCs w:val="26"/>
        </w:rPr>
        <w:t xml:space="preserve">ХТСКх-63</w:t>
      </w:r>
      <w:r>
        <w:rPr>
          <w:rFonts w:eastAsia="Calibri"/>
          <w:b/>
          <w:sz w:val="26"/>
          <w:szCs w:val="26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02"/>
        <w:tblW w:w="15500" w:type="dxa"/>
        <w:tblInd w:w="-5" w:type="dxa"/>
        <w:tblLook w:val="04A0" w:firstRow="1" w:lastRow="0" w:firstColumn="1" w:lastColumn="0" w:noHBand="0" w:noVBand="1"/>
      </w:tblPr>
      <w:tblGrid>
        <w:gridCol w:w="921"/>
        <w:gridCol w:w="3461"/>
        <w:gridCol w:w="5882"/>
        <w:gridCol w:w="2245"/>
        <w:gridCol w:w="2991"/>
      </w:tblGrid>
      <w:tr>
        <w:tblPrEx/>
        <w:trPr/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п/п</w:t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46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параметров</w:t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58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Требование заказчика</w:t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gridSpan w:val="2"/>
            <w:tcW w:w="523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3461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5882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2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9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>
          <w:trHeight w:val="267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588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3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4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5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выполнению работ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Общие требования к выполнению работ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2"/>
                <w:numId w:val="8"/>
              </w:numPr>
              <w:ind w:left="1072"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iCs/>
                <w:sz w:val="22"/>
                <w:szCs w:val="22"/>
              </w:rPr>
              <w:t xml:space="preserve">Технические требования к продукции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W w:w="5882" w:type="dxa"/>
            <w:textDirection w:val="lrTb"/>
            <w:noWrap w:val="false"/>
          </w:tcPr>
          <w:p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Выполне</w:t>
            </w:r>
            <w:r>
              <w:rPr>
                <w:iCs/>
                <w:color w:val="000000" w:themeColor="text1"/>
                <w:sz w:val="22"/>
                <w:szCs w:val="22"/>
              </w:rPr>
              <w:t xml:space="preserve">ние </w:t>
            </w:r>
            <w:r>
              <w:rPr>
                <w:iCs/>
                <w:sz w:val="22"/>
                <w:szCs w:val="22"/>
              </w:rPr>
              <w:t xml:space="preserve">работ Подрядчиком </w:t>
            </w:r>
            <w:r>
              <w:rPr>
                <w:iCs/>
                <w:sz w:val="22"/>
                <w:szCs w:val="22"/>
              </w:rPr>
              <w:t xml:space="preserve">осуществляется согласно требованиям технического задания и редакции Договора </w:t>
            </w:r>
            <w:r>
              <w:rPr>
                <w:iCs/>
                <w:sz w:val="22"/>
                <w:szCs w:val="22"/>
              </w:rPr>
              <w:t xml:space="preserve">(</w:t>
            </w:r>
            <w:r>
              <w:rPr>
                <w:iCs/>
                <w:sz w:val="22"/>
                <w:szCs w:val="22"/>
              </w:rPr>
              <w:t xml:space="preserve">Приложение</w:t>
            </w:r>
            <w:r>
              <w:rPr>
                <w:iCs/>
                <w:sz w:val="22"/>
                <w:szCs w:val="22"/>
              </w:rPr>
              <w:t xml:space="preserve"> №1 к документации о закупки</w:t>
            </w:r>
            <w:r>
              <w:rPr>
                <w:iCs/>
                <w:sz w:val="22"/>
                <w:szCs w:val="22"/>
              </w:rPr>
              <w:t xml:space="preserve">).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auto"/>
            <w:tcW w:w="2991" w:type="dxa"/>
            <w:textDirection w:val="lrTb"/>
            <w:noWrap w:val="false"/>
          </w:tcPr>
          <w:p>
            <w:pPr>
              <w:pStyle w:val="1070"/>
              <w:keepNext w:val="0"/>
              <w:spacing w:before="0"/>
              <w:rPr>
                <w:rFonts w:eastAsia="Times New Roman"/>
                <w:b w:val="0"/>
                <w:sz w:val="23"/>
                <w:szCs w:val="23"/>
              </w:rPr>
              <w:outlineLvl w:val="2"/>
            </w:pPr>
            <w:r>
              <w:rPr>
                <w:b w:val="0"/>
                <w:iCs/>
                <w:sz w:val="22"/>
                <w:szCs w:val="22"/>
              </w:rPr>
              <w:t xml:space="preserve">Участник должен предоставить в заявке </w:t>
            </w:r>
            <w:r>
              <w:rPr>
                <w:b w:val="0"/>
                <w:iCs/>
                <w:sz w:val="22"/>
                <w:szCs w:val="22"/>
              </w:rPr>
              <w:t xml:space="preserve">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eastAsia="Times New Roman"/>
                <w:b w:val="0"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организации работ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1208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2"/>
                <w:numId w:val="8"/>
              </w:numPr>
              <w:ind w:left="1072" w:hanging="1199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both"/>
              <w:rPr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Требования к организации процесса выполнения работ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5882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начала выполнения Работ предоставить</w:t>
            </w:r>
            <w:r>
              <w:rPr>
                <w:bCs/>
                <w:sz w:val="22"/>
                <w:szCs w:val="22"/>
              </w:rPr>
              <w:t xml:space="preserve">: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1045"/>
              <w:numPr>
                <w:ilvl w:val="0"/>
                <w:numId w:val="44"/>
              </w:numPr>
              <w:ind w:left="0" w:firstLine="35"/>
              <w:jc w:val="both"/>
              <w:shd w:val="clear" w:color="auto" w:fill="ffffff"/>
              <w:tabs>
                <w:tab w:val="left" w:pos="602" w:leader="none"/>
                <w:tab w:val="left" w:pos="1418" w:leader="none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      </w:r>
            <w:r>
              <w:rPr>
                <w:bCs/>
                <w:sz w:val="22"/>
                <w:szCs w:val="22"/>
              </w:rPr>
              <w:t xml:space="preserve">; 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1045"/>
              <w:numPr>
                <w:ilvl w:val="0"/>
                <w:numId w:val="44"/>
              </w:numPr>
              <w:ind w:left="0" w:firstLine="35"/>
              <w:jc w:val="both"/>
              <w:shd w:val="clear" w:color="auto" w:fill="ffffff"/>
              <w:tabs>
                <w:tab w:val="left" w:pos="602" w:leader="none"/>
                <w:tab w:val="left" w:pos="1418" w:leader="none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контакты и должность представителя Подрядчика, ответственного за соблюдение норм и правил в област</w:t>
            </w:r>
            <w:r>
              <w:rPr>
                <w:bCs/>
                <w:sz w:val="22"/>
                <w:szCs w:val="22"/>
              </w:rPr>
      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1045"/>
              <w:ind w:left="29" w:firstLine="454"/>
              <w:jc w:val="both"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Обеспечить наличие допусков, разрешений и лицензий, необходимых для производства Работ.</w:t>
            </w:r>
            <w:r>
              <w:rPr>
                <w:sz w:val="23"/>
                <w:szCs w:val="23"/>
              </w:rPr>
            </w:r>
          </w:p>
          <w:p>
            <w:pPr>
              <w:pStyle w:val="1045"/>
              <w:ind w:left="29" w:firstLine="454"/>
              <w:jc w:val="both"/>
              <w:rPr>
                <w:sz w:val="32"/>
                <w:szCs w:val="32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Подрядчик</w:t>
            </w:r>
            <w:r>
              <w:rPr>
                <w:rFonts w:eastAsia="Times New Roman"/>
                <w:sz w:val="23"/>
                <w:szCs w:val="23"/>
              </w:rPr>
              <w:t xml:space="preserve"> осуществляет основной сбор исходной информации с выездом на место строительства в районе ПНС «Городская» г. Амурск.</w:t>
            </w:r>
            <w:r>
              <w:rPr>
                <w:sz w:val="32"/>
                <w:szCs w:val="32"/>
              </w:rPr>
            </w:r>
          </w:p>
          <w:p>
            <w:pPr>
              <w:pStyle w:val="1045"/>
              <w:ind w:left="29" w:firstLine="454"/>
              <w:jc w:val="both"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Согласование, рассмотрение документации с Заказчиком осуществляется по часовому поясу Заказчика, с учетом режима работы соответствующего ответственного персонала Заказчика. </w:t>
            </w:r>
            <w:r>
              <w:rPr>
                <w:sz w:val="23"/>
                <w:szCs w:val="23"/>
              </w:rPr>
            </w:r>
          </w:p>
          <w:p>
            <w:pPr>
              <w:pStyle w:val="1045"/>
              <w:ind w:left="29" w:firstLine="454"/>
              <w:jc w:val="both"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В процессе согласования документации, при наличии замечаний от ответственного персонала Заказчика</w:t>
            </w:r>
            <w:r>
              <w:rPr>
                <w:rFonts w:eastAsia="Times New Roman"/>
                <w:sz w:val="23"/>
                <w:szCs w:val="23"/>
              </w:rPr>
              <w:t xml:space="preserve"> по письменному требованию</w:t>
            </w:r>
            <w:r>
              <w:rPr>
                <w:rFonts w:eastAsia="Times New Roman"/>
                <w:sz w:val="23"/>
                <w:szCs w:val="23"/>
              </w:rPr>
              <w:t xml:space="preserve">, Подрядчик </w:t>
            </w:r>
            <w:r>
              <w:rPr>
                <w:rFonts w:eastAsia="Times New Roman"/>
                <w:sz w:val="23"/>
                <w:szCs w:val="23"/>
              </w:rPr>
              <w:t xml:space="preserve">обязан направить</w:t>
            </w:r>
            <w:r>
              <w:rPr>
                <w:rFonts w:eastAsia="Times New Roman"/>
                <w:sz w:val="23"/>
                <w:szCs w:val="23"/>
              </w:rPr>
              <w:t xml:space="preserve"> на территорию энергообъекта</w:t>
            </w:r>
            <w:r>
              <w:rPr>
                <w:rFonts w:eastAsia="Times New Roman"/>
                <w:sz w:val="23"/>
                <w:szCs w:val="23"/>
              </w:rPr>
              <w:t xml:space="preserve"> Заказчика</w:t>
            </w:r>
            <w:r>
              <w:rPr>
                <w:rFonts w:eastAsia="Times New Roman"/>
                <w:sz w:val="23"/>
                <w:szCs w:val="23"/>
              </w:rPr>
              <w:t xml:space="preserve"> не менее 3-х </w:t>
            </w:r>
            <w:r>
              <w:rPr>
                <w:rFonts w:eastAsia="Times New Roman"/>
                <w:sz w:val="23"/>
                <w:szCs w:val="23"/>
              </w:rPr>
              <w:t xml:space="preserve">проектировщиков по направлениям с присутствием руководителя Подрядчика/иного уполномоченного лица.</w:t>
            </w:r>
            <w:r>
              <w:rPr>
                <w:sz w:val="23"/>
                <w:szCs w:val="23"/>
              </w:rPr>
            </w:r>
          </w:p>
          <w:p>
            <w:pPr>
              <w:pStyle w:val="1045"/>
              <w:ind w:left="29" w:firstLine="4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45" w:type="dxa"/>
            <w:vMerge w:val="restart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sz w:val="23"/>
                <w:szCs w:val="23"/>
              </w:rPr>
            </w:r>
          </w:p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vMerge w:val="restart"/>
            <w:textDirection w:val="lrTb"/>
            <w:noWrap w:val="false"/>
          </w:tcPr>
          <w:p>
            <w:pPr>
              <w:pStyle w:val="1070"/>
              <w:keepNext w:val="0"/>
              <w:rPr>
                <w:rFonts w:eastAsia="Times New Roman"/>
                <w:b w:val="0"/>
                <w:sz w:val="23"/>
                <w:szCs w:val="23"/>
                <w:lang w:val="en-US"/>
              </w:rPr>
              <w:outlineLvl w:val="2"/>
            </w:pPr>
            <w:r>
              <w:rPr>
                <w:rFonts w:eastAsia="Times New Roman"/>
                <w:b w:val="0"/>
                <w:sz w:val="23"/>
                <w:szCs w:val="23"/>
                <w:lang w:val="en-US"/>
              </w:rPr>
              <w:t xml:space="preserve">-</w:t>
            </w:r>
            <w:r>
              <w:rPr>
                <w:rFonts w:eastAsia="Times New Roman"/>
                <w:b w:val="0"/>
                <w:sz w:val="23"/>
                <w:szCs w:val="23"/>
                <w:lang w:val="en-US"/>
              </w:rPr>
            </w:r>
          </w:p>
          <w:p>
            <w:pPr>
              <w:pStyle w:val="1070"/>
              <w:keepNext w:val="0"/>
              <w:rPr>
                <w:rFonts w:eastAsia="Times New Roman"/>
                <w:b w:val="0"/>
                <w:sz w:val="23"/>
                <w:szCs w:val="23"/>
                <w:lang w:val="en-US"/>
              </w:rPr>
              <w:outlineLvl w:val="2"/>
            </w:pPr>
            <w:r>
              <w:rPr>
                <w:rFonts w:eastAsia="Times New Roman"/>
                <w:b w:val="0"/>
                <w:sz w:val="23"/>
                <w:szCs w:val="23"/>
                <w:lang w:val="en-US"/>
              </w:rPr>
            </w:r>
            <w:r>
              <w:rPr>
                <w:rFonts w:eastAsia="Times New Roman"/>
                <w:b w:val="0"/>
                <w:sz w:val="23"/>
                <w:szCs w:val="23"/>
                <w:lang w:val="en-US"/>
              </w:rPr>
            </w:r>
          </w:p>
        </w:tc>
      </w:tr>
      <w:tr>
        <w:tblPrEx/>
        <w:trPr>
          <w:trHeight w:val="1990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461" w:type="dxa"/>
            <w:vMerge w:val="continue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5882" w:type="dxa"/>
            <w:vMerge w:val="continue"/>
            <w:textDirection w:val="lrTb"/>
            <w:noWrap w:val="false"/>
          </w:tcPr>
          <w:p>
            <w:pPr>
              <w:ind w:firstLine="317"/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3"/>
                <w:szCs w:val="23"/>
                <w:highlight w:val="yellow"/>
              </w:rPr>
            </w:pPr>
            <w:r>
              <w:rPr>
                <w:bCs/>
                <w:sz w:val="23"/>
                <w:szCs w:val="23"/>
                <w:highlight w:val="yellow"/>
              </w:rPr>
            </w:r>
            <w:r>
              <w:rPr>
                <w:bCs/>
                <w:sz w:val="23"/>
                <w:szCs w:val="23"/>
                <w:highlight w:val="yellow"/>
              </w:rPr>
            </w:r>
          </w:p>
        </w:tc>
        <w:tc>
          <w:tcPr>
            <w:tcW w:w="2245" w:type="dxa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vMerge w:val="continue"/>
            <w:textDirection w:val="lrTb"/>
            <w:noWrap w:val="false"/>
          </w:tcPr>
          <w:p>
            <w:pPr>
              <w:pStyle w:val="1070"/>
              <w:rPr>
                <w:rFonts w:eastAsia="Times New Roman"/>
                <w:b w:val="0"/>
                <w:sz w:val="23"/>
                <w:szCs w:val="23"/>
              </w:rPr>
              <w:outlineLvl w:val="2"/>
            </w:pPr>
            <w:r>
              <w:rPr>
                <w:rFonts w:eastAsia="Times New Roman"/>
                <w:b w:val="0"/>
                <w:sz w:val="23"/>
                <w:szCs w:val="23"/>
              </w:rPr>
            </w:r>
            <w:r>
              <w:rPr>
                <w:rFonts w:eastAsia="Times New Roman"/>
                <w:b w:val="0"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70"/>
        </w:trPr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pStyle w:val="10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1.3.1.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vMerge w:val="restart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</w:t>
            </w:r>
            <w:r>
              <w:rPr>
                <w:b/>
                <w:sz w:val="23"/>
                <w:szCs w:val="23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1070"/>
              <w:jc w:val="left"/>
              <w:rPr>
                <w:b w:val="0"/>
                <w:sz w:val="23"/>
                <w:szCs w:val="23"/>
              </w:rPr>
              <w:outlineLvl w:val="2"/>
            </w:pPr>
            <w:r>
              <w:rPr>
                <w:b w:val="0"/>
                <w:sz w:val="23"/>
                <w:szCs w:val="23"/>
              </w:rPr>
            </w:r>
            <w:r>
              <w:rPr>
                <w:b w:val="0"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vMerge w:val="continue"/>
            <w:textDirection w:val="lrTb"/>
            <w:noWrap w:val="false"/>
          </w:tcPr>
          <w:p>
            <w:pPr>
              <w:ind w:left="720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rPr>
                <w:sz w:val="23"/>
                <w:szCs w:val="23"/>
              </w:rPr>
              <w:t xml:space="preserve">Требования к оборудованию</w:t>
            </w:r>
            <w:r/>
          </w:p>
        </w:tc>
        <w:tc>
          <w:tcPr>
            <w:tcW w:w="5882" w:type="dxa"/>
            <w:vAlign w:val="center"/>
            <w:textDirection w:val="lrTb"/>
            <w:noWrap w:val="false"/>
          </w:tcPr>
          <w:p>
            <w:pPr>
              <w:pStyle w:val="1045"/>
              <w:ind w:left="0"/>
              <w:jc w:val="both"/>
              <w:spacing w:line="276" w:lineRule="auto"/>
              <w:shd w:val="clear" w:color="auto" w:fill="ffffff"/>
              <w:tabs>
                <w:tab w:val="left" w:pos="319" w:leader="none"/>
              </w:tabs>
              <w:rPr>
                <w:spacing w:val="-5"/>
                <w:sz w:val="22"/>
                <w:szCs w:val="22"/>
                <w:lang w:bidi="ru-RU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В проектной и ра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бочей документации предусматривать оборудование и материалы с изготовлением и поставкой в комплектно-блочном исполнении максимальной готовности крупными блоками, исходя из возможностей монтажа в существующих зданиях, а также габаритов транспортных средств.</w:t>
            </w:r>
            <w:r>
              <w:rPr>
                <w:spacing w:val="-5"/>
                <w:sz w:val="22"/>
                <w:szCs w:val="22"/>
                <w:lang w:bidi="ru-RU"/>
              </w:rPr>
            </w:r>
          </w:p>
          <w:p>
            <w:pPr>
              <w:pStyle w:val="1045"/>
              <w:ind w:left="0"/>
              <w:jc w:val="both"/>
              <w:spacing w:line="276" w:lineRule="auto"/>
              <w:shd w:val="clear" w:color="auto" w:fill="ffffff"/>
              <w:tabs>
                <w:tab w:val="left" w:pos="319" w:leader="none"/>
              </w:tabs>
              <w:rPr>
                <w:spacing w:val="-5"/>
                <w:sz w:val="22"/>
                <w:szCs w:val="22"/>
                <w:lang w:bidi="ru-RU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Все оборудование, указанное в документации, должно соответствовать нормам проектирования, правил промышленной, пожарной и энергетической безопасности, требований Технического регламента Тамо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женного союза, постановления Правительства РФ №719 от 17.07.2015 г. «О подтверждении производства промышленной продукции на территории Российской Федерации», требованиями и рекомендациями заводов-изготовителей. Оборудование, применяемое в процессе выполнен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ия работ, должно быть согласовано с Заказчиком и иметь необходимые сертификаты (соответствия, качества и т.д.), соответствовать ГОСТам. Разрешение на применение на территории РФ. Материалы и изделия с оборудованием предусматривать Российского производства.</w:t>
            </w:r>
            <w:r>
              <w:rPr>
                <w:spacing w:val="-5"/>
                <w:sz w:val="22"/>
                <w:szCs w:val="22"/>
                <w:lang w:bidi="ru-RU"/>
              </w:rPr>
            </w:r>
          </w:p>
          <w:p>
            <w:pPr>
              <w:pStyle w:val="1045"/>
              <w:ind w:left="0"/>
              <w:jc w:val="both"/>
              <w:tabs>
                <w:tab w:val="left" w:pos="319" w:leader="none"/>
              </w:tabs>
              <w:rPr>
                <w:spacing w:val="-5"/>
                <w:sz w:val="22"/>
                <w:szCs w:val="22"/>
                <w:lang w:bidi="ru-RU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В составе проектной и рабочей документации предусмотреть: деталировочные чертежи для изготовления и заказа необходимого оборудования, узлов и деталей, а также 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выполнение всего комплекса работ по реализации объекта.</w:t>
            </w:r>
            <w:r>
              <w:rPr>
                <w:spacing w:val="-5"/>
                <w:sz w:val="22"/>
                <w:szCs w:val="22"/>
                <w:lang w:bidi="ru-RU"/>
              </w:rPr>
            </w:r>
          </w:p>
          <w:p>
            <w:pPr>
              <w:jc w:val="both"/>
              <w:spacing w:line="276" w:lineRule="auto"/>
              <w:shd w:val="clear" w:color="auto" w:fill="ffffff"/>
              <w:tabs>
                <w:tab w:val="left" w:pos="1361" w:leader="none"/>
              </w:tabs>
              <w:rPr>
                <w:spacing w:val="-5"/>
                <w:sz w:val="22"/>
                <w:szCs w:val="22"/>
                <w:lang w:bidi="ru-RU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Не допускается указание в проектной и рабочей документации, в том числе спецификациях оборудования и материалов, конкретных производителей. Указываются тип, марка и характеристики оборудования.</w:t>
            </w:r>
            <w:r>
              <w:rPr>
                <w:spacing w:val="-5"/>
                <w:sz w:val="22"/>
                <w:szCs w:val="22"/>
                <w:lang w:bidi="ru-RU"/>
              </w:rPr>
            </w:r>
          </w:p>
          <w:p>
            <w:pPr>
              <w:jc w:val="both"/>
              <w:spacing w:line="276" w:lineRule="auto"/>
              <w:shd w:val="clear" w:color="auto" w:fill="ffffff"/>
              <w:tabs>
                <w:tab w:val="left" w:pos="1361" w:leader="none"/>
              </w:tabs>
              <w:rPr>
                <w:sz w:val="23"/>
                <w:szCs w:val="23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Подрядчик обязуются соблюдать требования, указанные в Постановлении Правительства Российской Федерации от 23 декабря 2024 г. №1875 «О мерах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в части закупок материально-технических ресурсов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</w:p>
        </w:tc>
        <w:tc>
          <w:tcPr>
            <w:tcW w:w="2245" w:type="dxa"/>
            <w:vMerge w:val="continue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vMerge w:val="continue"/>
            <w:textDirection w:val="lrTb"/>
            <w:noWrap w:val="false"/>
          </w:tcPr>
          <w:p>
            <w:pPr>
              <w:pStyle w:val="1070"/>
              <w:jc w:val="left"/>
              <w:keepNext w:val="0"/>
              <w:rPr>
                <w:rFonts w:eastAsia="Times New Roman"/>
                <w:b w:val="0"/>
                <w:sz w:val="23"/>
                <w:szCs w:val="23"/>
              </w:rPr>
              <w:outlineLvl w:val="2"/>
            </w:pPr>
            <w:r>
              <w:rPr>
                <w:rFonts w:eastAsia="Times New Roman"/>
                <w:b w:val="0"/>
                <w:sz w:val="23"/>
                <w:szCs w:val="23"/>
              </w:rPr>
            </w:r>
            <w:r>
              <w:rPr>
                <w:rFonts w:eastAsia="Times New Roman"/>
                <w:b w:val="0"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персоналу П</w:t>
            </w:r>
            <w:r>
              <w:rPr>
                <w:b/>
                <w:sz w:val="23"/>
                <w:szCs w:val="23"/>
              </w:rPr>
              <w:t xml:space="preserve">одрядчика</w:t>
            </w:r>
            <w:r>
              <w:rPr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2"/>
                <w:numId w:val="8"/>
              </w:numPr>
              <w:ind w:left="1072"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pStyle w:val="1045"/>
              <w:ind w:left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Квалификация персонала Подрядчика, привлекаемого к выполнению работ</w:t>
            </w:r>
            <w:r>
              <w:rPr>
                <w:sz w:val="23"/>
                <w:szCs w:val="23"/>
              </w:rPr>
            </w:r>
          </w:p>
        </w:tc>
        <w:tc>
          <w:tcPr>
            <w:tcW w:w="5882" w:type="dxa"/>
            <w:textDirection w:val="lrTb"/>
            <w:noWrap w:val="false"/>
          </w:tcPr>
          <w:p>
            <w:pPr>
              <w:ind w:firstLine="558"/>
              <w:jc w:val="both"/>
              <w:tabs>
                <w:tab w:val="left" w:pos="526" w:leader="none"/>
                <w:tab w:val="left" w:pos="967" w:leader="none"/>
              </w:tabs>
              <w:rPr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Выполнять</w:t>
            </w:r>
            <w:r>
              <w:rPr>
                <w:bCs/>
                <w:sz w:val="22"/>
                <w:szCs w:val="22"/>
              </w:rPr>
      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sz w:val="23"/>
                <w:szCs w:val="23"/>
              </w:rPr>
            </w:r>
          </w:p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</w:t>
            </w:r>
            <w:r>
              <w:rPr>
                <w:b/>
                <w:sz w:val="23"/>
                <w:szCs w:val="23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безопасности работ и охране труда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2"/>
                <w:numId w:val="8"/>
              </w:numPr>
              <w:ind w:left="1072" w:hanging="1199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bCs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 xml:space="preserve">Требования к безопасности выполняемых работ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5882" w:type="dxa"/>
            <w:textDirection w:val="lrTb"/>
            <w:noWrap w:val="false"/>
          </w:tcPr>
          <w:p>
            <w:pPr>
              <w:pStyle w:val="1045"/>
              <w:ind w:left="0"/>
              <w:jc w:val="both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  <w:sz w:val="23"/>
                <w:szCs w:val="23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ind w:left="-426"/>
              <w:jc w:val="center"/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1.6.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gridSpan w:val="2"/>
            <w:tcW w:w="9343" w:type="dxa"/>
            <w:vAlign w:val="center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Допуск персонала Подрядчика к выполнению работ.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ind w:left="-426"/>
              <w:spacing w:before="60" w:after="60"/>
              <w:rPr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1.6.1.6.1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right="97"/>
              <w:jc w:val="both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right="97"/>
              <w:jc w:val="both"/>
              <w:widowControl w:val="off"/>
              <w:rPr>
                <w:rFonts w:eastAsia="Calibri"/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 xml:space="preserve">Требования к допуску персонала Подрядчика к выполнению работ</w:t>
            </w:r>
            <w:r>
              <w:rPr>
                <w:rFonts w:eastAsia="Calibri"/>
                <w:sz w:val="23"/>
                <w:szCs w:val="23"/>
              </w:rPr>
            </w:r>
          </w:p>
        </w:tc>
        <w:tc>
          <w:tcPr>
            <w:tcW w:w="5882" w:type="dxa"/>
            <w:textDirection w:val="lrTb"/>
            <w:noWrap w:val="false"/>
          </w:tcPr>
          <w:p>
            <w:pPr>
              <w:pStyle w:val="1045"/>
              <w:ind w:left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 xml:space="preserve">Допуск персонала Подрядчика осуществляется согласно  «Положения о допуске персонала подрядных организаций к выполнению работ на объектах АО «ДГК»» (Приложение №3 </w:t>
            </w:r>
            <w:r>
              <w:rPr>
                <w:iCs/>
                <w:sz w:val="22"/>
                <w:szCs w:val="22"/>
              </w:rPr>
              <w:t xml:space="preserve">к Техническим требованиям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Требования к результатам работ</w:t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Общие требования к результатам работ: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2.1.1</w:t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  <w:lang w:eastAsia="en-US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Требования к результату разработки </w:t>
            </w:r>
            <w:r>
              <w:rPr>
                <w:spacing w:val="-5"/>
                <w:sz w:val="22"/>
                <w:szCs w:val="22"/>
                <w:highlight w:val="white"/>
                <w:lang w:bidi="ru-RU"/>
              </w:rPr>
              <w:t xml:space="preserve">проектной и рабочей</w:t>
            </w:r>
            <w:r>
              <w:rPr>
                <w:bCs/>
                <w:sz w:val="22"/>
                <w:szCs w:val="22"/>
                <w:highlight w:val="white"/>
              </w:rPr>
              <w:t xml:space="preserve"> документации</w:t>
            </w:r>
            <w:r>
              <w:rPr>
                <w:sz w:val="23"/>
                <w:szCs w:val="23"/>
                <w:lang w:eastAsia="en-US"/>
              </w:rPr>
            </w:r>
          </w:p>
        </w:tc>
        <w:tc>
          <w:tcPr>
            <w:tcW w:w="5882" w:type="dxa"/>
            <w:textDirection w:val="lrTb"/>
            <w:noWrap w:val="false"/>
          </w:tcPr>
          <w:p>
            <w:pPr>
              <w:pStyle w:val="1045"/>
              <w:numPr>
                <w:ilvl w:val="0"/>
                <w:numId w:val="45"/>
              </w:numPr>
              <w:ind w:left="0" w:right="97" w:firstLine="425"/>
              <w:jc w:val="both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Документацию согласовать в требуемом объёме с СП «Комсомольские тепловые сети» АО «ДГК» и в случае необходимостью с Главным управлением МЧС России по Хабаровскому краю.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pStyle w:val="1045"/>
              <w:numPr>
                <w:ilvl w:val="0"/>
                <w:numId w:val="45"/>
              </w:numPr>
              <w:ind w:left="0" w:right="97" w:firstLine="425"/>
              <w:jc w:val="both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 w:bidi="ru-RU"/>
              </w:rPr>
              <w:t xml:space="preserve"> Документация должна в обязательном порядке должна быть согласована и зарегистрирована в Управлении Градостроительства и Архитектуры города Амурска.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         -    Оформить в соответствии с действующим законодательс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твом, в интересах Заказчика необходимые правоустанавливающие документы на земельный участок, позволяющих осуществить строительство здания повысительной насосной станции (ПНС) с последующей регистрации право собственности Заказчика на здание.  Предоставить </w:t>
            </w:r>
            <w:r>
              <w:rPr>
                <w:rFonts w:eastAsia="Calibri"/>
                <w:sz w:val="23"/>
                <w:szCs w:val="23"/>
              </w:rPr>
              <w:t xml:space="preserve">положительное заключение соответствующих экспертиз.</w:t>
            </w:r>
            <w:r>
              <w:rPr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1070"/>
              <w:jc w:val="left"/>
              <w:keepNext w:val="0"/>
              <w:rPr>
                <w:rFonts w:eastAsia="Times New Roman"/>
                <w:b w:val="0"/>
                <w:sz w:val="23"/>
                <w:szCs w:val="23"/>
              </w:rPr>
              <w:outlineLvl w:val="2"/>
            </w:pPr>
            <w:r>
              <w:rPr>
                <w:rFonts w:eastAsia="Times New Roman"/>
                <w:b w:val="0"/>
                <w:sz w:val="23"/>
                <w:szCs w:val="23"/>
              </w:rPr>
            </w:r>
            <w:r>
              <w:rPr>
                <w:rFonts w:eastAsia="Times New Roman"/>
                <w:b w:val="0"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2.1.2</w:t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  <w:p>
            <w:pPr>
              <w:ind w:right="97"/>
              <w:jc w:val="both"/>
              <w:widowControl w:val="off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  <w:p>
            <w:pPr>
              <w:ind w:right="97"/>
              <w:jc w:val="both"/>
              <w:widowControl w:val="off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  <w:p>
            <w:pPr>
              <w:ind w:right="97"/>
              <w:jc w:val="both"/>
              <w:widowControl w:val="off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  <w:p>
            <w:pPr>
              <w:ind w:right="97"/>
              <w:jc w:val="both"/>
              <w:widowControl w:val="off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Требования к </w:t>
            </w:r>
            <w:r>
              <w:rPr>
                <w:sz w:val="22"/>
                <w:szCs w:val="22"/>
              </w:rPr>
              <w:t xml:space="preserve">результату к проектной документации</w:t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882" w:type="dxa"/>
            <w:textDirection w:val="lrTb"/>
            <w:noWrap w:val="false"/>
          </w:tcPr>
          <w:p>
            <w:pPr>
              <w:ind w:firstLine="454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Состав проектной документации определить при проектировании, согласовать с Заказчиком. Состав должен соответствовать требованиям НТД.</w:t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2"/>
                <w:szCs w:val="22"/>
                <w:highlight w:val="white"/>
                <w:lang w:eastAsia="en-US"/>
              </w:rPr>
              <w:t xml:space="preserve">Разработку проектной и рабо</w:t>
            </w:r>
            <w:r>
              <w:rPr>
                <w:sz w:val="22"/>
                <w:szCs w:val="22"/>
                <w:highlight w:val="white"/>
                <w:lang w:eastAsia="en-US"/>
              </w:rPr>
              <w:t xml:space="preserve">чей документации выполнить в соответствие с ГОСТ Р 21.101-2020 и нормативными требованиями, в том числе в соответствие с требованиями Постановления Правительства РФ от 16.02.2008 №87 «О составе разделов проектной документации и требования к их содержанию».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auto" w:sz="4" w:space="0"/>
            </w:tcBorders>
            <w:tcW w:w="2245" w:type="dxa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Borders>
              <w:bottom w:val="single" w:color="auto" w:sz="4" w:space="0"/>
            </w:tcBorders>
            <w:tcW w:w="2991" w:type="dxa"/>
            <w:textDirection w:val="lrTb"/>
            <w:noWrap w:val="false"/>
          </w:tcPr>
          <w:p>
            <w:pPr>
              <w:pStyle w:val="1070"/>
              <w:keepNext w:val="0"/>
              <w:rPr>
                <w:rFonts w:eastAsia="Times New Roman"/>
                <w:b w:val="0"/>
                <w:bCs/>
                <w:sz w:val="23"/>
                <w:szCs w:val="23"/>
              </w:rPr>
              <w:outlineLvl w:val="2"/>
            </w:pPr>
            <w:r>
              <w:rPr>
                <w:rFonts w:eastAsia="Times New Roman"/>
                <w:b w:val="0"/>
                <w:bCs/>
                <w:sz w:val="23"/>
                <w:szCs w:val="23"/>
              </w:rPr>
              <w:t xml:space="preserve">-</w:t>
            </w:r>
            <w:r>
              <w:rPr>
                <w:rFonts w:eastAsia="Times New Roman"/>
                <w:b w:val="0"/>
                <w:bCs/>
                <w:sz w:val="23"/>
                <w:szCs w:val="23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ind w:left="25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2.1.3</w:t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Общие требования к проектной документации</w:t>
            </w:r>
            <w:r>
              <w:rPr>
                <w:i/>
                <w:iCs/>
                <w:sz w:val="22"/>
                <w:szCs w:val="22"/>
              </w:rPr>
            </w:r>
          </w:p>
          <w:p>
            <w:pPr>
              <w:ind w:right="97"/>
              <w:jc w:val="both"/>
              <w:widowControl w:val="off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5882" w:type="dxa"/>
            <w:vAlign w:val="center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Вся проектная документация разрабатывается в соответствии со следующими национальными, отраслевыми и корпоративными (ПАО «РусГидро») нормативно-техническими документами (НТД), определяющими требования к оформлению и содержанию проекта: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Постановлением Правительства Российской Федерации от 16.02.2008 № 87 «О составе разделов проектной документации и требованиях к их содержанию»;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Межгосударственным стандартом ГОСТ Р 21.101-2020 </w:t>
            </w:r>
            <w:r>
              <w:rPr>
                <w:iCs/>
                <w:sz w:val="22"/>
                <w:szCs w:val="22"/>
              </w:rPr>
              <w:t xml:space="preserve">«Система проектной документации для строительства (СПДС). Основные требования к проектной и рабочей документации (с Поправкой)»;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действующими федеральными законодательными документами Российской Федерации (указать необходимые).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u w:val="single"/>
              </w:rPr>
              <w:t xml:space="preserve">Отраслевые НТД: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Правила устройства электроустановок (действующее издание);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Правила технической эксплуатации (действующее издание);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«Методические указания по устойчивости энергосистем», утвержденные приказом Минэнерго России от 30.06.2003 № 277;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«Методические рекомендации по проектированию развития энергосистем», утвержденные приказом Минэнерго России от 30.06.2003 № 281;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России, утвержденные приказом ОАО РАО «ЕЭС России» от 11.02.2008 № 57;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Противоаварийная автоматика энергосистем (ссылка: </w:t>
            </w:r>
            <w:hyperlink r:id="rId16" w:tooltip="http://docs.cntd.ru/document/1200095744" w:history="1">
              <w:r>
                <w:rPr>
                  <w:rStyle w:val="1015"/>
                  <w:sz w:val="22"/>
                  <w:szCs w:val="22"/>
                </w:rPr>
                <w:t xml:space="preserve">http://docs.cntd.ru/document/1200095744</w:t>
              </w:r>
            </w:hyperlink>
            <w:r>
              <w:rPr>
                <w:iCs/>
                <w:sz w:val="22"/>
                <w:szCs w:val="22"/>
              </w:rPr>
              <w:t xml:space="preserve">);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Техническая политика Группы РусГидро (Протокол №307 Заседания Совета Директоров ПАО «РусГидро» от 09.04.2020) (ссылка: </w:t>
            </w:r>
            <w:hyperlink r:id="rId17" w:tooltip="http://www.rushydro.ru/upload/iblock/5d0/Tehnicheskaya-politika.pdf" w:history="1">
              <w:r>
                <w:rPr>
                  <w:rStyle w:val="1015"/>
                  <w:sz w:val="22"/>
                  <w:szCs w:val="22"/>
                </w:rPr>
                <w:t xml:space="preserve">http://www.rushydro.ru/upload/iblock/5d0/Tehnicheskaya-politika.pdf</w:t>
              </w:r>
            </w:hyperlink>
            <w:r>
              <w:rPr>
                <w:iCs/>
                <w:sz w:val="22"/>
                <w:szCs w:val="22"/>
              </w:rPr>
              <w:t xml:space="preserve">);</w:t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Стандарт организации ОАО «РусГидро» СТО 01.01.78-2012 - «Гидроэлектростанции. Нормы технологического проектирования» (ссылка </w:t>
            </w:r>
            <w:hyperlink r:id="rId18" w:tooltip="http://www.rushydro.ru/upload/iblock/d86/STO-RusGidro-01.01.78-2012_Normi-tehnologicheskogo-proektirovaniya.pdf" w:history="1">
              <w:r>
                <w:rPr>
                  <w:rStyle w:val="1015"/>
                  <w:sz w:val="22"/>
                  <w:szCs w:val="22"/>
                </w:rPr>
                <w:t xml:space="preserve">http://www.rushydro.ru/upload/iblock/d86/STO-RusGidro-01.01.78-2012_Normi-tehnologicheskogo-proektirovaniya.pdf</w:t>
              </w:r>
            </w:hyperlink>
            <w:r>
              <w:rPr>
                <w:i/>
                <w:iCs/>
                <w:sz w:val="22"/>
                <w:szCs w:val="22"/>
              </w:rPr>
              <w:t xml:space="preserve">).</w:t>
            </w: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</w:tcBorders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</w:tcBorders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ind w:left="360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rPr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Требования к порядку приемки результатов работ</w:t>
            </w:r>
            <w:r>
              <w:rPr>
                <w:rStyle w:val="1076"/>
                <w:b w:val="0"/>
                <w:bCs/>
                <w:i w:val="0"/>
                <w:sz w:val="23"/>
                <w:szCs w:val="23"/>
                <w:shd w:val="clear" w:color="auto" w:fill="auto"/>
              </w:rPr>
              <w:t xml:space="preserve"> 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pStyle w:val="1045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Подробно указаны в проекте договора </w:t>
            </w:r>
            <w:r>
              <w:rPr>
                <w:color w:val="000000"/>
                <w:sz w:val="22"/>
                <w:szCs w:val="22"/>
              </w:rPr>
              <w:t xml:space="preserve">подряда на выполнение проектно-изыскательских работ</w:t>
            </w:r>
            <w:r>
              <w:rPr>
                <w:sz w:val="22"/>
                <w:szCs w:val="22"/>
              </w:rPr>
              <w:t xml:space="preserve">, который включен в состав  Документации о закупке </w:t>
            </w:r>
            <w:r>
              <w:rPr>
                <w:color w:val="000000" w:themeColor="text1"/>
                <w:sz w:val="22"/>
                <w:szCs w:val="22"/>
              </w:rPr>
              <w:t xml:space="preserve">(Приложение №2</w:t>
            </w:r>
            <w:r>
              <w:rPr>
                <w:color w:val="000000" w:themeColor="text1"/>
                <w:sz w:val="22"/>
                <w:szCs w:val="22"/>
              </w:rPr>
              <w:t xml:space="preserve">).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</w:t>
            </w:r>
            <w:r>
              <w:rPr>
                <w:b/>
                <w:sz w:val="23"/>
                <w:szCs w:val="23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ind w:left="360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оформлению документации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ind w:left="0"/>
              <w:shd w:val="clear" w:color="auto" w:fill="ffffff"/>
              <w:tabs>
                <w:tab w:val="left" w:pos="284" w:leader="none"/>
              </w:tabs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2.4.1.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pStyle w:val="1045"/>
              <w:ind w:left="0"/>
              <w:shd w:val="clear" w:color="auto" w:fill="ffffff"/>
              <w:tabs>
                <w:tab w:val="left" w:pos="284" w:leader="none"/>
              </w:tabs>
              <w:rPr>
                <w:bCs/>
                <w:sz w:val="23"/>
                <w:szCs w:val="23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Документы, передаваемые заказчику по результатам выполненных работ</w:t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tcW w:w="5882" w:type="dxa"/>
            <w:textDirection w:val="lrTb"/>
            <w:noWrap w:val="false"/>
          </w:tcPr>
          <w:p>
            <w:pPr>
              <w:pStyle w:val="1094"/>
              <w:ind w:firstLine="317"/>
              <w:jc w:val="both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согласование представить документацию в электронном виде в формате DOC-Word, XLS-Excel, PDF (в количестве 1-го экземпляра).</w:t>
            </w:r>
            <w:r>
              <w:rPr>
                <w:sz w:val="22"/>
                <w:szCs w:val="22"/>
              </w:rPr>
            </w:r>
          </w:p>
          <w:p>
            <w:pPr>
              <w:pStyle w:val="1094"/>
              <w:ind w:firstLine="317"/>
              <w:jc w:val="both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Согласованную документацию на б</w:t>
            </w:r>
            <w:r>
              <w:rPr>
                <w:color w:val="000000"/>
                <w:sz w:val="22"/>
                <w:szCs w:val="22"/>
              </w:rPr>
              <w:t xml:space="preserve">умажном носителе (в количестве 4</w:t>
            </w:r>
            <w:r>
              <w:rPr>
                <w:color w:val="000000"/>
                <w:sz w:val="22"/>
                <w:szCs w:val="22"/>
              </w:rPr>
              <w:t xml:space="preserve">-х экземпляров) на русском языке, в электронном виде в формате DOC-Word, XLS-Excel, PDF (в количестве 1-го экземпляра).</w:t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spacing w:line="276" w:lineRule="auto"/>
              <w:shd w:val="clear" w:color="auto" w:fill="ffffff"/>
              <w:tabs>
                <w:tab w:val="left" w:pos="751" w:leader="none"/>
              </w:tabs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Передаваемые документы Заказчику:</w:t>
            </w:r>
            <w:r>
              <w:rPr>
                <w:spacing w:val="-5"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shd w:val="clear" w:color="auto" w:fill="ffffff"/>
              <w:tabs>
                <w:tab w:val="left" w:pos="751" w:leader="none"/>
              </w:tabs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 текстовая часть с подписями на титульных листах;</w:t>
            </w:r>
            <w:r>
              <w:rPr>
                <w:spacing w:val="-5"/>
                <w:sz w:val="22"/>
                <w:szCs w:val="22"/>
              </w:rPr>
            </w:r>
          </w:p>
          <w:p>
            <w:pPr>
              <w:ind w:right="142"/>
              <w:jc w:val="both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-</w:t>
            </w:r>
            <w:r>
              <w:rPr>
                <w:sz w:val="22"/>
                <w:szCs w:val="22"/>
              </w:rPr>
              <w:t xml:space="preserve"> графическая часть – nanoCAD, cdw, dwg, pdf, </w:t>
            </w:r>
            <w:r>
              <w:rPr>
                <w:sz w:val="22"/>
                <w:szCs w:val="22"/>
                <w:lang w:eastAsia="zh-CN" w:bidi="ru-RU"/>
              </w:rPr>
              <w:t xml:space="preserve">tiff;</w:t>
            </w:r>
            <w:r>
              <w:rPr>
                <w:sz w:val="22"/>
                <w:szCs w:val="22"/>
              </w:rPr>
            </w:r>
          </w:p>
          <w:p>
            <w:pPr>
              <w:ind w:righ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таблицы данных – doc, xls;</w:t>
            </w:r>
            <w:r>
              <w:rPr>
                <w:sz w:val="22"/>
                <w:szCs w:val="22"/>
              </w:rPr>
            </w:r>
          </w:p>
          <w:p>
            <w:pPr>
              <w:ind w:right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сметную документацию - в формате «ГРАНД-смета» - gsfх ; xlsх и pdf.</w:t>
            </w:r>
            <w:r>
              <w:rPr>
                <w:sz w:val="22"/>
                <w:szCs w:val="22"/>
              </w:rPr>
            </w:r>
          </w:p>
          <w:p>
            <w:pPr>
              <w:pStyle w:val="1045"/>
              <w:ind w:left="0"/>
              <w:jc w:val="both"/>
              <w:shd w:val="clear" w:color="auto" w:fill="ffffff"/>
              <w:tabs>
                <w:tab w:val="left" w:pos="284" w:leader="none"/>
              </w:tabs>
              <w:rPr>
                <w:b/>
                <w:sz w:val="23"/>
                <w:szCs w:val="23"/>
              </w:rPr>
            </w:pPr>
            <w:r>
              <w:rPr>
                <w:spacing w:val="-5"/>
                <w:sz w:val="22"/>
                <w:szCs w:val="22"/>
                <w:lang w:bidi="ru-RU"/>
              </w:rPr>
              <w:t xml:space="preserve">Количест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во передаваемой документации ‒ 4 (четыре</w:t>
            </w:r>
            <w:r>
              <w:rPr>
                <w:spacing w:val="-5"/>
                <w:sz w:val="22"/>
                <w:szCs w:val="22"/>
                <w:lang w:bidi="ru-RU"/>
              </w:rPr>
              <w:t xml:space="preserve">) экземпляра на бумажном носителе, 1 (один) экземпляр в электронном виде на USB носителе.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bCs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pStyle w:val="1070"/>
              <w:keepNext w:val="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spacing w:before="4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</w:t>
            </w:r>
            <w:r>
              <w:rPr>
                <w:b/>
                <w:sz w:val="23"/>
                <w:szCs w:val="23"/>
              </w:rPr>
              <w:t xml:space="preserve">о указанных в других разделах Технических требований</w:t>
            </w:r>
            <w:r>
              <w:rPr>
                <w:b/>
                <w:sz w:val="23"/>
                <w:szCs w:val="23"/>
              </w:rPr>
              <w:t xml:space="preserve">)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3.1.</w:t>
            </w:r>
            <w:r>
              <w:rPr>
                <w:sz w:val="23"/>
                <w:szCs w:val="23"/>
              </w:rPr>
            </w:r>
          </w:p>
        </w:tc>
        <w:tc>
          <w:tcPr>
            <w:tcW w:w="3461" w:type="dxa"/>
            <w:textDirection w:val="lrTb"/>
            <w:noWrap w:val="false"/>
          </w:tcPr>
          <w:p>
            <w:pPr>
              <w:pStyle w:val="1045"/>
              <w:ind w:left="0"/>
              <w:shd w:val="clear" w:color="auto" w:fill="ffffff"/>
              <w:tabs>
                <w:tab w:val="left" w:pos="284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2"/>
                <w:szCs w:val="22"/>
              </w:rPr>
            </w:r>
          </w:p>
          <w:p>
            <w:r/>
            <w:r/>
          </w:p>
        </w:tc>
        <w:tc>
          <w:tcPr>
            <w:tcW w:w="5882" w:type="dxa"/>
            <w:textDirection w:val="lrTb"/>
            <w:noWrap w:val="false"/>
          </w:tcPr>
          <w:p>
            <w:pPr>
              <w:pStyle w:val="1045"/>
              <w:ind w:left="356"/>
              <w:jc w:val="both"/>
              <w:rPr>
                <w:color w:val="00b0f0"/>
              </w:rPr>
            </w:pPr>
            <w:r>
              <w:rPr>
                <w:color w:val="00b0f0"/>
              </w:rPr>
            </w:r>
            <w:r>
              <w:rPr>
                <w:color w:val="00b0f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Нормативно-техническая документация </w:t>
            </w:r>
            <w:r>
              <w:rPr>
                <w:sz w:val="22"/>
                <w:szCs w:val="22"/>
              </w:rPr>
              <w:t xml:space="preserve">подробно указаны в 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Приложение № 1 Техническое задание на выполнение работ  к настоящим техническим требованиям</w:t>
            </w:r>
            <w:r>
              <w:rPr>
                <w:sz w:val="22"/>
                <w:szCs w:val="22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pStyle w:val="1070"/>
              <w:keepNext w:val="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  <w:p>
            <w:pPr>
              <w:pStyle w:val="1070"/>
              <w:keepNext w:val="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>
          <w:trHeight w:val="913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4.1.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Требования к ответственности Подрядчика</w:t>
            </w:r>
            <w:r>
              <w:rPr>
                <w:b/>
                <w:i/>
                <w:sz w:val="22"/>
                <w:szCs w:val="22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подробно указаны в проекте договора </w:t>
            </w:r>
            <w:r>
              <w:rPr>
                <w:color w:val="000000"/>
                <w:sz w:val="24"/>
                <w:szCs w:val="24"/>
              </w:rPr>
              <w:t xml:space="preserve">подряда на выполнение проектно-изыскательских работ</w:t>
            </w:r>
            <w:r>
              <w:rPr>
                <w:sz w:val="22"/>
                <w:szCs w:val="22"/>
              </w:rPr>
              <w:t xml:space="preserve">, который включён в состав Документации о закупке </w:t>
            </w:r>
            <w:r>
              <w:rPr>
                <w:color w:val="000000" w:themeColor="text1"/>
                <w:sz w:val="22"/>
                <w:szCs w:val="22"/>
              </w:rPr>
              <w:t xml:space="preserve">(Приложение №2).</w:t>
            </w:r>
            <w:r>
              <w:rPr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pStyle w:val="1070"/>
              <w:jc w:val="left"/>
              <w:rPr>
                <w:b w:val="0"/>
                <w:bCs/>
                <w:sz w:val="23"/>
                <w:szCs w:val="23"/>
              </w:rPr>
              <w:outlineLvl w:val="2"/>
            </w:pPr>
            <w:r>
              <w:rPr>
                <w:b w:val="0"/>
                <w:bCs/>
                <w:sz w:val="23"/>
                <w:szCs w:val="23"/>
              </w:rPr>
            </w:r>
            <w:r>
              <w:rPr>
                <w:b w:val="0"/>
                <w:bCs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-</w:t>
            </w:r>
            <w:r>
              <w:rPr>
                <w:b/>
                <w:bCs/>
                <w:sz w:val="23"/>
                <w:szCs w:val="23"/>
              </w:rPr>
            </w:r>
          </w:p>
          <w:p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</w:r>
            <w:r>
              <w:rPr>
                <w:b/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textDirection w:val="lrTb"/>
            <w:noWrap w:val="false"/>
          </w:tcPr>
          <w:p>
            <w:pPr>
              <w:pStyle w:val="1045"/>
              <w:numPr>
                <w:ilvl w:val="0"/>
                <w:numId w:val="8"/>
              </w:numPr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</w:t>
            </w:r>
            <w:r>
              <w:rPr>
                <w:b/>
                <w:sz w:val="23"/>
                <w:szCs w:val="23"/>
              </w:rPr>
              <w:t xml:space="preserve"> к обязательствам Подрядчика, влияющим на исполнение договора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b/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5.1.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обязательствам Подрядчика</w:t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подробно указаны в проекте договоре </w:t>
            </w:r>
            <w:r>
              <w:rPr>
                <w:color w:val="000000"/>
                <w:sz w:val="22"/>
                <w:szCs w:val="22"/>
              </w:rPr>
              <w:t xml:space="preserve">подряда на выполнение проектно-изыскательских работ</w:t>
            </w:r>
            <w:r>
              <w:rPr>
                <w:iCs/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(</w:t>
            </w:r>
            <w:r>
              <w:rPr>
                <w:i/>
                <w:sz w:val="22"/>
                <w:szCs w:val="22"/>
              </w:rPr>
              <w:t xml:space="preserve">раздел 5) 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который включен в состав Документации о закупке </w:t>
            </w:r>
            <w:r>
              <w:rPr>
                <w:color w:val="000000" w:themeColor="text1"/>
                <w:sz w:val="22"/>
                <w:szCs w:val="22"/>
              </w:rPr>
              <w:t xml:space="preserve">(Приложение №2).</w:t>
            </w:r>
            <w:r>
              <w:rPr>
                <w:sz w:val="22"/>
                <w:szCs w:val="22"/>
              </w:rPr>
            </w:r>
          </w:p>
        </w:tc>
        <w:tc>
          <w:tcPr>
            <w:tcW w:w="22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-//-</w:t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pStyle w:val="1070"/>
              <w:keepNext w:val="0"/>
              <w:rPr>
                <w:sz w:val="23"/>
                <w:szCs w:val="23"/>
              </w:rPr>
              <w:outlineLvl w:val="2"/>
            </w:pPr>
            <w:r>
              <w:rPr>
                <w:b w:val="0"/>
                <w:sz w:val="23"/>
                <w:szCs w:val="23"/>
              </w:rPr>
              <w:t xml:space="preserve">-//-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21" w:type="dxa"/>
            <w:vAlign w:val="center"/>
            <w:vMerge w:val="continue"/>
            <w:textDirection w:val="lrTb"/>
            <w:noWrap w:val="false"/>
          </w:tcPr>
          <w:p>
            <w:pPr>
              <w:ind w:left="568"/>
              <w:jc w:val="center"/>
              <w:spacing w:before="60" w:after="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vMerge w:val="continue"/>
            <w:textDirection w:val="lrTb"/>
            <w:noWrap w:val="false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pStyle w:val="1070"/>
              <w:jc w:val="left"/>
              <w:keepNext w:val="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793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5.2.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Требования к субподрядным организациям, привлекаемым к выполнению работ:</w:t>
            </w:r>
            <w:r>
              <w:rPr>
                <w:b/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iCs/>
                <w:sz w:val="22"/>
                <w:szCs w:val="22"/>
              </w:rPr>
              <w:t xml:space="preserve">В случае привлечения к выполнению работ субподрядную организацию, подрядчик обязан письменно согласовать с Заказчиком привлекаемую субподрядную о</w:t>
            </w:r>
            <w:r>
              <w:rPr>
                <w:iCs/>
                <w:sz w:val="22"/>
                <w:szCs w:val="22"/>
              </w:rPr>
              <w:t xml:space="preserve">рганизацию с предоставлением заказчику на момент согласования договора субподрядчика документов, подтверждающие соответствие их квалификационного уровня, а также готовность и возможность выполнения ими работ, а также документы указанные в п. 2.4.2 проекта </w:t>
            </w:r>
            <w:r>
              <w:rPr>
                <w:sz w:val="22"/>
                <w:szCs w:val="22"/>
              </w:rPr>
              <w:t xml:space="preserve">договора </w:t>
            </w:r>
            <w:r>
              <w:rPr>
                <w:color w:val="000000"/>
                <w:sz w:val="24"/>
                <w:szCs w:val="24"/>
              </w:rPr>
              <w:t xml:space="preserve">подряда на выполнение проектно-изыскательских работ</w:t>
            </w:r>
            <w:r>
              <w:rPr>
                <w:i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который включён в состав Документации о закупке (Приложение №2).</w:t>
            </w:r>
            <w:r>
              <w:rPr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с требованиями</w:t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pStyle w:val="1070"/>
              <w:keepNext w:val="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  <w:p>
            <w:pPr>
              <w:pStyle w:val="107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779"/>
        </w:trPr>
        <w:tc>
          <w:tcPr>
            <w:tcW w:w="92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6.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gridSpan w:val="2"/>
            <w:tcW w:w="9343" w:type="dxa"/>
            <w:textDirection w:val="lrTb"/>
            <w:noWrap w:val="false"/>
          </w:tcPr>
          <w:p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Прочие требования к выполняемым работам</w:t>
            </w:r>
            <w:r>
              <w:rPr>
                <w:b/>
                <w:sz w:val="23"/>
                <w:szCs w:val="23"/>
              </w:rPr>
            </w:r>
          </w:p>
          <w:p>
            <w:pPr>
              <w:rPr>
                <w:b/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Работы выполняются согласно условиям проекта договора подряда на выполнение проектно-изыскательских работ, который включён в состав Документации о </w:t>
            </w:r>
            <w:r>
              <w:rPr>
                <w:color w:val="000000" w:themeColor="text1"/>
                <w:sz w:val="22"/>
                <w:szCs w:val="22"/>
              </w:rPr>
              <w:t xml:space="preserve">закупке (Приложение №2).</w:t>
            </w:r>
            <w:r>
              <w:rPr>
                <w:b/>
                <w:sz w:val="23"/>
                <w:szCs w:val="23"/>
              </w:rPr>
            </w:r>
          </w:p>
        </w:tc>
        <w:tc>
          <w:tcPr>
            <w:tcW w:w="224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991" w:type="dxa"/>
            <w:textDirection w:val="lrTb"/>
            <w:noWrap w:val="false"/>
          </w:tcPr>
          <w:p>
            <w:pPr>
              <w:pStyle w:val="1070"/>
              <w:keepNext w:val="0"/>
              <w:rPr>
                <w:sz w:val="23"/>
                <w:szCs w:val="23"/>
              </w:rPr>
              <w:outlineLvl w:val="2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sectPr>
          <w:footnotePr/>
          <w:endnotePr/>
          <w:type w:val="nextPage"/>
          <w:pgSz w:w="16838" w:h="11906" w:orient="landscape"/>
          <w:pgMar w:top="1134" w:right="1134" w:bottom="851" w:left="992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 </w:t>
      </w:r>
      <w:bookmarkStart w:id="29" w:name="_Toc53393312"/>
      <w:r/>
      <w:bookmarkStart w:id="30" w:name="_Toc54646411"/>
      <w:r/>
      <w:bookmarkStart w:id="31" w:name="_Toc46743519"/>
      <w:r/>
      <w:bookmarkStart w:id="32" w:name="_Toc51339699"/>
      <w:r>
        <w:rPr>
          <w:b/>
          <w:bCs/>
          <w:sz w:val="24"/>
          <w:szCs w:val="24"/>
        </w:rPr>
        <w:t xml:space="preserve">Требования к документации по ценообразованию</w:t>
      </w:r>
      <w:bookmarkEnd w:id="29"/>
      <w:r>
        <w:rPr>
          <w:b/>
          <w:bCs/>
          <w:sz w:val="24"/>
          <w:szCs w:val="24"/>
        </w:rPr>
        <w:t xml:space="preserve"> на этапе закупки</w:t>
      </w:r>
      <w:bookmarkEnd w:id="30"/>
      <w:r/>
      <w:r>
        <w:rPr>
          <w:b/>
          <w:bCs/>
          <w:sz w:val="24"/>
          <w:szCs w:val="24"/>
        </w:rPr>
      </w:r>
    </w:p>
    <w:p>
      <w:pPr>
        <w:pStyle w:val="837"/>
        <w:numPr>
          <w:ilvl w:val="0"/>
          <w:numId w:val="0"/>
        </w:numPr>
        <w:ind w:firstLine="567"/>
        <w:jc w:val="both"/>
        <w:rPr>
          <w:b w:val="0"/>
          <w:bCs w:val="0"/>
          <w:iCs/>
        </w:rPr>
      </w:pPr>
      <w:r>
        <w:rPr>
          <w:b w:val="0"/>
          <w:bCs w:val="0"/>
          <w:iCs/>
        </w:rPr>
        <w:t xml:space="preserve">3.1. В обоснование стоимости своей заявки Участник предоставляет Коммерческое предложение по форме</w:t>
      </w:r>
      <w:r>
        <w:rPr>
          <w:b w:val="0"/>
          <w:bCs w:val="0"/>
          <w:iCs/>
        </w:rPr>
        <w:t xml:space="preserve"> (с учетом прилагаемой к ней инструкции по заполнению)</w:t>
      </w:r>
      <w:r>
        <w:rPr>
          <w:b w:val="0"/>
          <w:bCs w:val="0"/>
          <w:iCs/>
        </w:rPr>
        <w:t xml:space="preserve">, приведенной в Документации о закупке.</w:t>
      </w:r>
      <w:r>
        <w:rPr>
          <w:b w:val="0"/>
          <w:bCs w:val="0"/>
          <w:iCs/>
        </w:rPr>
      </w:r>
    </w:p>
    <w:p>
      <w:pPr>
        <w:pStyle w:val="837"/>
        <w:numPr>
          <w:ilvl w:val="0"/>
          <w:numId w:val="0"/>
        </w:numPr>
        <w:ind w:firstLine="567"/>
        <w:jc w:val="both"/>
        <w:rPr>
          <w:b w:val="0"/>
          <w:iCs/>
        </w:rPr>
      </w:pPr>
      <w:r>
        <w:rPr>
          <w:b w:val="0"/>
          <w:iCs/>
        </w:rPr>
        <w:t xml:space="preserve">3.2. Дополнительные документы по ценообразованию (сметная документация) в состав заявки Участника не включается.</w:t>
      </w:r>
      <w:r>
        <w:rPr>
          <w:b w:val="0"/>
          <w:iCs/>
        </w:rPr>
      </w:r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834"/>
        <w:numPr>
          <w:ilvl w:val="0"/>
          <w:numId w:val="0"/>
        </w:numPr>
        <w:jc w:val="center"/>
        <w:keepLines/>
        <w:rPr>
          <w:sz w:val="24"/>
          <w:szCs w:val="24"/>
        </w:rPr>
      </w:pPr>
      <w:r>
        <w:t xml:space="preserve">4</w:t>
      </w:r>
      <w:r>
        <w:rPr>
          <w:sz w:val="24"/>
          <w:szCs w:val="24"/>
        </w:rPr>
        <w:t xml:space="preserve">. </w:t>
      </w:r>
      <w:bookmarkStart w:id="33" w:name="_Toc54646412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33"/>
      <w:r/>
      <w:r>
        <w:rPr>
          <w:sz w:val="24"/>
          <w:szCs w:val="24"/>
        </w:rPr>
      </w:r>
    </w:p>
    <w:p>
      <w:pPr>
        <w:ind w:firstLine="709"/>
        <w:jc w:val="both"/>
        <w:spacing w:before="60" w:after="60"/>
        <w:rPr>
          <w:sz w:val="24"/>
          <w:szCs w:val="24"/>
        </w:rPr>
      </w:pPr>
      <w:r>
        <w:rPr>
          <w:sz w:val="24"/>
          <w:szCs w:val="24"/>
        </w:rPr>
        <w:t xml:space="preserve">4.1.1. Сметная документация разрабатывается </w:t>
      </w:r>
      <w:r>
        <w:rPr>
          <w:bCs/>
          <w:sz w:val="24"/>
          <w:szCs w:val="24"/>
        </w:rPr>
        <w:t xml:space="preserve">Участником, с которым принято решение заключить договор</w:t>
      </w:r>
      <w:r>
        <w:rPr>
          <w:sz w:val="24"/>
          <w:szCs w:val="24"/>
        </w:rPr>
        <w:t xml:space="preserve"> на этапе заключения </w:t>
      </w:r>
      <w:r>
        <w:rPr>
          <w:sz w:val="24"/>
          <w:szCs w:val="24"/>
        </w:rPr>
        <w:t xml:space="preserve">(исполнения</w:t>
      </w:r>
      <w:r>
        <w:rPr>
          <w:sz w:val="24"/>
          <w:szCs w:val="24"/>
        </w:rPr>
        <w:t xml:space="preserve">) договора в соответствие с требованиями по оформлению и составлению документации по ценообразованию ( Приложение №1 к настоящим ТТ)</w:t>
      </w:r>
      <w:r>
        <w:rPr>
          <w:sz w:val="24"/>
          <w:szCs w:val="24"/>
        </w:rPr>
      </w:r>
    </w:p>
    <w:p>
      <w:pPr>
        <w:ind w:firstLine="709"/>
        <w:jc w:val="both"/>
        <w:spacing w:after="120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4.1.2. Если стоимость по смете, ра</w:t>
      </w:r>
      <w:r>
        <w:rPr>
          <w:sz w:val="24"/>
          <w:szCs w:val="24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  <w:r>
        <w:rPr>
          <w:i/>
          <w:iCs/>
          <w:sz w:val="24"/>
          <w:szCs w:val="24"/>
        </w:rPr>
      </w:r>
    </w:p>
    <w:p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iCs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993" w:leader="none"/>
        </w:tabs>
        <w:rPr>
          <w:spacing w:val="-5"/>
          <w:sz w:val="24"/>
          <w:szCs w:val="24"/>
          <w:lang w:bidi="ru-RU"/>
        </w:rPr>
      </w:pPr>
      <w:r>
        <w:rPr>
          <w:spacing w:val="-5"/>
          <w:sz w:val="24"/>
          <w:szCs w:val="24"/>
          <w:lang w:bidi="ru-RU"/>
        </w:rPr>
      </w:r>
      <w:r>
        <w:rPr>
          <w:spacing w:val="-5"/>
          <w:sz w:val="24"/>
          <w:szCs w:val="24"/>
          <w:lang w:bidi="ru-RU"/>
        </w:rPr>
      </w:r>
    </w:p>
    <w:p>
      <w:pPr>
        <w:ind w:firstLine="567"/>
        <w:jc w:val="both"/>
        <w:shd w:val="clear" w:color="auto" w:fill="ffffff"/>
        <w:tabs>
          <w:tab w:val="left" w:pos="993" w:leader="none"/>
        </w:tabs>
        <w:rPr>
          <w:spacing w:val="-5"/>
          <w:sz w:val="24"/>
          <w:szCs w:val="24"/>
          <w:lang w:bidi="ru-RU"/>
        </w:rPr>
      </w:pPr>
      <w:r>
        <w:rPr>
          <w:spacing w:val="-5"/>
          <w:sz w:val="24"/>
          <w:szCs w:val="24"/>
          <w:lang w:bidi="ru-RU"/>
        </w:rPr>
        <w:t xml:space="preserve"> </w:t>
      </w:r>
      <w:r>
        <w:rPr>
          <w:spacing w:val="-5"/>
          <w:sz w:val="24"/>
          <w:szCs w:val="24"/>
          <w:lang w:bidi="ru-RU"/>
        </w:rPr>
        <w:t xml:space="preserve">4.2. В течение 3</w:t>
      </w:r>
      <w:r>
        <w:rPr>
          <w:spacing w:val="-5"/>
          <w:sz w:val="24"/>
          <w:szCs w:val="24"/>
          <w:lang w:bidi="ru-RU"/>
        </w:rPr>
        <w:t xml:space="preserve">0 (тридцать) календарных</w:t>
      </w:r>
      <w:r>
        <w:rPr>
          <w:spacing w:val="-5"/>
          <w:sz w:val="24"/>
          <w:szCs w:val="24"/>
          <w:lang w:bidi="ru-RU"/>
        </w:rPr>
        <w:t xml:space="preserve"> дней с даты официальной публикации протокола заседани</w:t>
      </w:r>
      <w:r>
        <w:rPr>
          <w:spacing w:val="-5"/>
          <w:sz w:val="24"/>
          <w:szCs w:val="24"/>
          <w:lang w:bidi="ru-RU"/>
        </w:rPr>
        <w:t xml:space="preserve">я Закупочной комиссии о выборе Победителя</w:t>
      </w:r>
      <w:r>
        <w:rPr>
          <w:spacing w:val="-5"/>
          <w:sz w:val="24"/>
          <w:szCs w:val="24"/>
          <w:lang w:bidi="ru-RU"/>
        </w:rPr>
        <w:t xml:space="preserve">, Победитель закупки предоставляет Заказчику сметную документацию к Сводной смете.</w:t>
      </w:r>
      <w:r>
        <w:rPr>
          <w:spacing w:val="-5"/>
          <w:sz w:val="24"/>
          <w:szCs w:val="24"/>
          <w:lang w:bidi="ru-RU"/>
        </w:rPr>
      </w:r>
    </w:p>
    <w:p>
      <w:pPr>
        <w:pStyle w:val="834"/>
        <w:numPr>
          <w:ilvl w:val="0"/>
          <w:numId w:val="0"/>
        </w:numPr>
        <w:ind w:left="357"/>
        <w:jc w:val="center"/>
        <w:keepLines/>
      </w:pPr>
      <w:r/>
      <w:r/>
    </w:p>
    <w:p>
      <w:pPr>
        <w:pStyle w:val="834"/>
        <w:numPr>
          <w:ilvl w:val="0"/>
          <w:numId w:val="0"/>
        </w:numPr>
        <w:contextualSpacing/>
        <w:ind w:left="357"/>
        <w:jc w:val="center"/>
        <w:keepLines/>
        <w:rPr>
          <w:iCs/>
        </w:rPr>
      </w:pPr>
      <w:r>
        <w:rPr>
          <w:iCs/>
          <w:sz w:val="24"/>
          <w:szCs w:val="24"/>
        </w:rPr>
        <w:t xml:space="preserve">5. </w:t>
      </w:r>
      <w:bookmarkStart w:id="34" w:name="_Toc54646413"/>
      <w:r>
        <w:rPr>
          <w:iCs/>
          <w:sz w:val="24"/>
          <w:szCs w:val="24"/>
        </w:rPr>
        <w:t xml:space="preserve">Приложения</w:t>
      </w:r>
      <w:bookmarkEnd w:id="31"/>
      <w:r/>
      <w:bookmarkEnd w:id="32"/>
      <w:r/>
      <w:bookmarkEnd w:id="34"/>
      <w:r/>
      <w:r>
        <w:rPr>
          <w:iCs/>
        </w:rPr>
      </w:r>
    </w:p>
    <w:p>
      <w:pPr>
        <w:contextualSpacing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</w:t>
      </w:r>
      <w:r>
        <w:rPr>
          <w:bCs/>
          <w:sz w:val="24"/>
          <w:szCs w:val="24"/>
        </w:rPr>
        <w:t xml:space="preserve">1: Техническое задание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</w:p>
    <w:p>
      <w:pPr>
        <w:contextualSpacing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</w:t>
      </w:r>
      <w:r>
        <w:rPr>
          <w:bCs/>
          <w:sz w:val="24"/>
          <w:szCs w:val="24"/>
        </w:rPr>
        <w:t xml:space="preserve">ение №2: </w:t>
      </w:r>
      <w:r>
        <w:rPr>
          <w:bCs/>
          <w:color w:val="000000" w:themeColor="text1"/>
          <w:sz w:val="24"/>
          <w:szCs w:val="24"/>
        </w:rPr>
        <w:t xml:space="preserve">Требования к оформлению и составлению сметной документации по ценообразованию на выполнение ПИР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</w:p>
    <w:p>
      <w:pPr>
        <w:contextualSpacing/>
        <w:spacing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№3</w:t>
      </w:r>
      <w:r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 xml:space="preserve">Положение о допуске персонала подрядных организаций к выполнению работ на объектах АО «ДГК» 22.1-504-</w:t>
      </w:r>
      <w:r>
        <w:rPr>
          <w:bCs/>
          <w:color w:val="000000" w:themeColor="text1"/>
          <w:sz w:val="24"/>
          <w:szCs w:val="24"/>
        </w:rPr>
        <w:t xml:space="preserve">2025.</w:t>
      </w:r>
      <w:r>
        <w:rPr>
          <w:bCs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53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5579582"/>
      <w:docPartObj>
        <w:docPartGallery w:val="Page Numbers (Top of Page)"/>
        <w:docPartUnique w:val="true"/>
      </w:docPartObj>
      <w:rPr/>
    </w:sdtPr>
    <w:sdtContent>
      <w:p>
        <w:pPr>
          <w:pStyle w:val="1000"/>
          <w:jc w:val="center"/>
        </w:pPr>
        <w:r>
          <w:t xml:space="preserve">14</w:t>
        </w:r>
        <w:r/>
      </w:p>
    </w:sdtContent>
  </w:sdt>
  <w:p>
    <w:pPr>
      <w:pStyle w:val="1000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0"/>
      <w:rPr>
        <w:rStyle w:val="1012"/>
      </w:rPr>
      <w:framePr w:wrap="around" w:vAnchor="text" w:hAnchor="margin" w:xAlign="center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separate"/>
    </w:r>
    <w:r>
      <w:rPr>
        <w:rStyle w:val="1012"/>
      </w:rPr>
      <w:t xml:space="preserve">4</w:t>
    </w:r>
    <w:r>
      <w:rPr>
        <w:rStyle w:val="1012"/>
      </w:rPr>
      <w:fldChar w:fldCharType="end"/>
    </w:r>
    <w:r>
      <w:rPr>
        <w:rStyle w:val="1012"/>
      </w:rPr>
    </w:r>
  </w:p>
  <w:p>
    <w:pPr>
      <w:pStyle w:val="10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24016756"/>
      <w:docPartObj>
        <w:docPartGallery w:val="Page Numbers (Top of Page)"/>
        <w:docPartUnique w:val="true"/>
      </w:docPartObj>
      <w:rPr/>
    </w:sdtPr>
    <w:sdtContent>
      <w:p>
        <w:pPr>
          <w:pStyle w:val="100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100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3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3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4"/>
      <w:numFmt w:val="bullet"/>
      <w:pStyle w:val="106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6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5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1" w:hanging="180"/>
      </w:p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  <w:b w:val="0"/>
        <w:i w:val="0"/>
        <w:sz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016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5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pStyle w:val="109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styleLink w:val="1069"/>
    <w:lvl w:ilvl="0">
      <w:start w:val="3"/>
      <w:numFmt w:val="decimal"/>
      <w:pStyle w:val="106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7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8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8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8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3">
    <w:multiLevelType w:val="hybridMultilevel"/>
    <w:styleLink w:val="1073"/>
    <w:lvl w:ilvl="0">
      <w:start w:val="1"/>
      <w:numFmt w:val="decimal"/>
      <w:pStyle w:val="107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9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7"/>
  </w:num>
  <w:num w:numId="3">
    <w:abstractNumId w:val="29"/>
  </w:num>
  <w:num w:numId="4">
    <w:abstractNumId w:val="0"/>
  </w:num>
  <w:num w:numId="5">
    <w:abstractNumId w:val="33"/>
  </w:num>
  <w:num w:numId="6">
    <w:abstractNumId w:val="32"/>
  </w:num>
  <w:num w:numId="7">
    <w:abstractNumId w:val="25"/>
  </w:num>
  <w:num w:numId="8">
    <w:abstractNumId w:val="6"/>
  </w:num>
  <w:num w:numId="9">
    <w:abstractNumId w:val="14"/>
  </w:num>
  <w:num w:numId="10">
    <w:abstractNumId w:val="31"/>
  </w:num>
  <w:num w:numId="11">
    <w:abstractNumId w:val="40"/>
  </w:num>
  <w:num w:numId="12">
    <w:abstractNumId w:val="38"/>
  </w:num>
  <w:num w:numId="13">
    <w:abstractNumId w:val="20"/>
  </w:num>
  <w:num w:numId="14">
    <w:abstractNumId w:val="4"/>
  </w:num>
  <w:num w:numId="15">
    <w:abstractNumId w:val="15"/>
  </w:num>
  <w:num w:numId="16">
    <w:abstractNumId w:val="1"/>
  </w:num>
  <w:num w:numId="17">
    <w:abstractNumId w:val="28"/>
  </w:num>
  <w:num w:numId="18">
    <w:abstractNumId w:val="3"/>
  </w:num>
  <w:num w:numId="19">
    <w:abstractNumId w:val="36"/>
  </w:num>
  <w:num w:numId="20">
    <w:abstractNumId w:val="30"/>
  </w:num>
  <w:num w:numId="21">
    <w:abstractNumId w:val="19"/>
  </w:num>
  <w:num w:numId="22">
    <w:abstractNumId w:val="18"/>
  </w:num>
  <w:num w:numId="23">
    <w:abstractNumId w:val="17"/>
  </w:num>
  <w:num w:numId="24">
    <w:abstractNumId w:val="2"/>
  </w:num>
  <w:num w:numId="25">
    <w:abstractNumId w:val="35"/>
  </w:num>
  <w:num w:numId="26">
    <w:abstractNumId w:val="23"/>
  </w:num>
  <w:num w:numId="27">
    <w:abstractNumId w:val="0"/>
  </w:num>
  <w:num w:numId="28">
    <w:abstractNumId w:val="22"/>
  </w:num>
  <w:num w:numId="29">
    <w:abstractNumId w:val="0"/>
  </w:num>
  <w:num w:numId="30">
    <w:abstractNumId w:val="12"/>
  </w:num>
  <w:num w:numId="31">
    <w:abstractNumId w:val="41"/>
  </w:num>
  <w:num w:numId="32">
    <w:abstractNumId w:val="34"/>
  </w:num>
  <w:num w:numId="33">
    <w:abstractNumId w:val="8"/>
  </w:num>
  <w:num w:numId="34">
    <w:abstractNumId w:val="9"/>
  </w:num>
  <w:num w:numId="35">
    <w:abstractNumId w:val="10"/>
  </w:num>
  <w:num w:numId="36">
    <w:abstractNumId w:val="5"/>
  </w:num>
  <w:num w:numId="37">
    <w:abstractNumId w:val="27"/>
  </w:num>
  <w:num w:numId="38">
    <w:abstractNumId w:val="26"/>
  </w:num>
  <w:num w:numId="39">
    <w:abstractNumId w:val="16"/>
  </w:num>
  <w:num w:numId="40">
    <w:abstractNumId w:val="11"/>
  </w:num>
  <w:num w:numId="41">
    <w:abstractNumId w:val="37"/>
  </w:num>
  <w:num w:numId="42">
    <w:abstractNumId w:val="24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6">
    <w:name w:val="Title Char"/>
    <w:basedOn w:val="843"/>
    <w:link w:val="855"/>
    <w:uiPriority w:val="10"/>
    <w:rPr>
      <w:sz w:val="48"/>
      <w:szCs w:val="48"/>
    </w:rPr>
  </w:style>
  <w:style w:type="character" w:styleId="46">
    <w:name w:val="Footer Char"/>
    <w:basedOn w:val="843"/>
    <w:link w:val="1003"/>
    <w:uiPriority w:val="99"/>
  </w:style>
  <w:style w:type="character" w:styleId="48">
    <w:name w:val="Caption Char"/>
    <w:basedOn w:val="843"/>
    <w:link w:val="1040"/>
    <w:uiPriority w:val="35"/>
    <w:rPr>
      <w:b/>
      <w:bCs/>
      <w:color w:val="4f81bd" w:themeColor="accent1"/>
      <w:sz w:val="18"/>
      <w:szCs w:val="18"/>
    </w:rPr>
  </w:style>
  <w:style w:type="paragraph" w:styleId="833" w:default="1">
    <w:name w:val="Normal"/>
    <w:qFormat/>
    <w:rPr>
      <w:sz w:val="28"/>
      <w:szCs w:val="28"/>
    </w:rPr>
  </w:style>
  <w:style w:type="paragraph" w:styleId="834">
    <w:name w:val="Heading 1"/>
    <w:basedOn w:val="836"/>
    <w:next w:val="833"/>
    <w:link w:val="1032"/>
    <w:qFormat/>
    <w:pPr>
      <w:numPr>
        <w:ilvl w:val="0"/>
      </w:numPr>
      <w:outlineLvl w:val="0"/>
    </w:pPr>
    <w:rPr>
      <w:sz w:val="28"/>
      <w:szCs w:val="28"/>
    </w:rPr>
  </w:style>
  <w:style w:type="paragraph" w:styleId="835">
    <w:name w:val="Heading 2"/>
    <w:basedOn w:val="837"/>
    <w:next w:val="833"/>
    <w:link w:val="1034"/>
    <w:qFormat/>
    <w:pPr>
      <w:outlineLvl w:val="1"/>
    </w:pPr>
  </w:style>
  <w:style w:type="paragraph" w:styleId="836">
    <w:name w:val="Heading 3"/>
    <w:basedOn w:val="833"/>
    <w:next w:val="833"/>
    <w:link w:val="1035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37">
    <w:name w:val="Heading 4"/>
    <w:basedOn w:val="836"/>
    <w:next w:val="833"/>
    <w:link w:val="1036"/>
    <w:qFormat/>
    <w:pPr>
      <w:numPr>
        <w:ilvl w:val="1"/>
      </w:numPr>
      <w:outlineLvl w:val="3"/>
    </w:pPr>
    <w:rPr>
      <w:bCs/>
    </w:rPr>
  </w:style>
  <w:style w:type="paragraph" w:styleId="838">
    <w:name w:val="Heading 5"/>
    <w:basedOn w:val="833"/>
    <w:next w:val="833"/>
    <w:link w:val="103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39">
    <w:name w:val="Heading 6"/>
    <w:basedOn w:val="833"/>
    <w:next w:val="833"/>
    <w:link w:val="102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40">
    <w:name w:val="Heading 7"/>
    <w:basedOn w:val="833"/>
    <w:next w:val="833"/>
    <w:link w:val="103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41">
    <w:name w:val="Heading 8"/>
    <w:basedOn w:val="833"/>
    <w:next w:val="833"/>
    <w:link w:val="103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42">
    <w:name w:val="Heading 9"/>
    <w:basedOn w:val="833"/>
    <w:next w:val="833"/>
    <w:link w:val="103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character" w:styleId="846" w:customStyle="1">
    <w:name w:val="Heading 1 Char"/>
    <w:basedOn w:val="843"/>
    <w:uiPriority w:val="9"/>
    <w:rPr>
      <w:rFonts w:ascii="Arial" w:hAnsi="Arial" w:eastAsia="Arial" w:cs="Arial"/>
      <w:sz w:val="40"/>
      <w:szCs w:val="40"/>
    </w:rPr>
  </w:style>
  <w:style w:type="character" w:styleId="847" w:customStyle="1">
    <w:name w:val="Heading 2 Char"/>
    <w:basedOn w:val="843"/>
    <w:uiPriority w:val="9"/>
    <w:rPr>
      <w:rFonts w:ascii="Arial" w:hAnsi="Arial" w:eastAsia="Arial" w:cs="Arial"/>
      <w:sz w:val="34"/>
    </w:rPr>
  </w:style>
  <w:style w:type="character" w:styleId="848" w:customStyle="1">
    <w:name w:val="Heading 3 Char"/>
    <w:basedOn w:val="843"/>
    <w:uiPriority w:val="9"/>
    <w:rPr>
      <w:rFonts w:ascii="Arial" w:hAnsi="Arial" w:eastAsia="Arial" w:cs="Arial"/>
      <w:sz w:val="30"/>
      <w:szCs w:val="30"/>
    </w:rPr>
  </w:style>
  <w:style w:type="character" w:styleId="849" w:customStyle="1">
    <w:name w:val="Heading 4 Char"/>
    <w:basedOn w:val="843"/>
    <w:uiPriority w:val="9"/>
    <w:rPr>
      <w:rFonts w:ascii="Arial" w:hAnsi="Arial" w:eastAsia="Arial" w:cs="Arial"/>
      <w:b/>
      <w:bCs/>
      <w:sz w:val="26"/>
      <w:szCs w:val="26"/>
    </w:rPr>
  </w:style>
  <w:style w:type="character" w:styleId="850" w:customStyle="1">
    <w:name w:val="Heading 5 Char"/>
    <w:basedOn w:val="843"/>
    <w:uiPriority w:val="9"/>
    <w:rPr>
      <w:rFonts w:ascii="Arial" w:hAnsi="Arial" w:eastAsia="Arial" w:cs="Arial"/>
      <w:b/>
      <w:bCs/>
      <w:sz w:val="24"/>
      <w:szCs w:val="24"/>
    </w:rPr>
  </w:style>
  <w:style w:type="character" w:styleId="851" w:customStyle="1">
    <w:name w:val="Heading 6 Char"/>
    <w:basedOn w:val="843"/>
    <w:uiPriority w:val="9"/>
    <w:rPr>
      <w:rFonts w:ascii="Arial" w:hAnsi="Arial" w:eastAsia="Arial" w:cs="Arial"/>
      <w:b/>
      <w:bCs/>
      <w:sz w:val="22"/>
      <w:szCs w:val="22"/>
    </w:rPr>
  </w:style>
  <w:style w:type="character" w:styleId="852" w:customStyle="1">
    <w:name w:val="Heading 7 Char"/>
    <w:basedOn w:val="8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3" w:customStyle="1">
    <w:name w:val="Heading 8 Char"/>
    <w:basedOn w:val="843"/>
    <w:uiPriority w:val="9"/>
    <w:rPr>
      <w:rFonts w:ascii="Arial" w:hAnsi="Arial" w:eastAsia="Arial" w:cs="Arial"/>
      <w:i/>
      <w:iCs/>
      <w:sz w:val="22"/>
      <w:szCs w:val="22"/>
    </w:rPr>
  </w:style>
  <w:style w:type="character" w:styleId="854" w:customStyle="1">
    <w:name w:val="Heading 9 Char"/>
    <w:basedOn w:val="843"/>
    <w:uiPriority w:val="9"/>
    <w:rPr>
      <w:rFonts w:ascii="Arial" w:hAnsi="Arial" w:eastAsia="Arial" w:cs="Arial"/>
      <w:i/>
      <w:iCs/>
      <w:sz w:val="21"/>
      <w:szCs w:val="21"/>
    </w:rPr>
  </w:style>
  <w:style w:type="paragraph" w:styleId="855">
    <w:name w:val="Title"/>
    <w:basedOn w:val="833"/>
    <w:next w:val="833"/>
    <w:link w:val="8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6" w:customStyle="1">
    <w:name w:val="Заголовок Знак"/>
    <w:basedOn w:val="843"/>
    <w:link w:val="855"/>
    <w:uiPriority w:val="10"/>
    <w:rPr>
      <w:sz w:val="48"/>
      <w:szCs w:val="48"/>
    </w:rPr>
  </w:style>
  <w:style w:type="character" w:styleId="857" w:customStyle="1">
    <w:name w:val="Subtitle Char"/>
    <w:basedOn w:val="843"/>
    <w:uiPriority w:val="11"/>
    <w:rPr>
      <w:sz w:val="24"/>
      <w:szCs w:val="24"/>
    </w:rPr>
  </w:style>
  <w:style w:type="character" w:styleId="858" w:customStyle="1">
    <w:name w:val="Quote Char"/>
    <w:uiPriority w:val="29"/>
    <w:rPr>
      <w:i/>
    </w:rPr>
  </w:style>
  <w:style w:type="character" w:styleId="859" w:customStyle="1">
    <w:name w:val="Intense Quote Char"/>
    <w:uiPriority w:val="30"/>
    <w:rPr>
      <w:i/>
    </w:rPr>
  </w:style>
  <w:style w:type="character" w:styleId="860" w:customStyle="1">
    <w:name w:val="Header Char"/>
    <w:basedOn w:val="843"/>
    <w:uiPriority w:val="99"/>
  </w:style>
  <w:style w:type="character" w:styleId="861" w:customStyle="1">
    <w:name w:val="Нижний колонтитул Знак"/>
    <w:basedOn w:val="843"/>
    <w:link w:val="1003"/>
    <w:uiPriority w:val="99"/>
  </w:style>
  <w:style w:type="character" w:styleId="862" w:customStyle="1">
    <w:name w:val="Название объекта Знак"/>
    <w:basedOn w:val="843"/>
    <w:link w:val="1040"/>
    <w:uiPriority w:val="35"/>
    <w:rPr>
      <w:b/>
      <w:bCs/>
      <w:color w:val="4472c4" w:themeColor="accent1"/>
      <w:sz w:val="18"/>
      <w:szCs w:val="18"/>
    </w:rPr>
  </w:style>
  <w:style w:type="table" w:styleId="863" w:customStyle="1">
    <w:name w:val="Table Grid Light"/>
    <w:basedOn w:val="8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4">
    <w:name w:val="Plain Table 1"/>
    <w:basedOn w:val="84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2"/>
    <w:basedOn w:val="84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6">
    <w:name w:val="Plain Table 3"/>
    <w:basedOn w:val="8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7">
    <w:name w:val="Plain Table 4"/>
    <w:basedOn w:val="8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Plain Table 5"/>
    <w:basedOn w:val="84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9">
    <w:name w:val="Grid Table 1 Light"/>
    <w:basedOn w:val="84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1"/>
    <w:basedOn w:val="84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2"/>
    <w:basedOn w:val="84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3"/>
    <w:basedOn w:val="84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4"/>
    <w:basedOn w:val="84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5"/>
    <w:basedOn w:val="84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6"/>
    <w:basedOn w:val="84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2"/>
    <w:basedOn w:val="8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1"/>
    <w:basedOn w:val="84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2"/>
    <w:basedOn w:val="84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3"/>
    <w:basedOn w:val="84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4"/>
    <w:basedOn w:val="84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5"/>
    <w:basedOn w:val="84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6"/>
    <w:basedOn w:val="84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"/>
    <w:basedOn w:val="84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1"/>
    <w:basedOn w:val="84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2"/>
    <w:basedOn w:val="84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3"/>
    <w:basedOn w:val="84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4"/>
    <w:basedOn w:val="84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5"/>
    <w:basedOn w:val="84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6"/>
    <w:basedOn w:val="84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4"/>
    <w:basedOn w:val="84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1" w:customStyle="1">
    <w:name w:val="Grid Table 4 - Accent 1"/>
    <w:basedOn w:val="84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92" w:customStyle="1">
    <w:name w:val="Grid Table 4 - Accent 2"/>
    <w:basedOn w:val="84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3" w:customStyle="1">
    <w:name w:val="Grid Table 4 - Accent 3"/>
    <w:basedOn w:val="84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4" w:customStyle="1">
    <w:name w:val="Grid Table 4 - Accent 4"/>
    <w:basedOn w:val="84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5" w:customStyle="1">
    <w:name w:val="Grid Table 4 - Accent 5"/>
    <w:basedOn w:val="84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96" w:customStyle="1">
    <w:name w:val="Grid Table 4 - Accent 6"/>
    <w:basedOn w:val="84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7">
    <w:name w:val="Grid Table 5 Dark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- Accent 1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2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3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- Accent 4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5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6"/>
    <w:basedOn w:val="84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4">
    <w:name w:val="Grid Table 6 Colorful"/>
    <w:basedOn w:val="84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5" w:customStyle="1">
    <w:name w:val="Grid Table 6 Colorful - Accent 1"/>
    <w:basedOn w:val="84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06" w:customStyle="1">
    <w:name w:val="Grid Table 6 Colorful - Accent 2"/>
    <w:basedOn w:val="84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7" w:customStyle="1">
    <w:name w:val="Grid Table 6 Colorful - Accent 3"/>
    <w:basedOn w:val="84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08" w:customStyle="1">
    <w:name w:val="Grid Table 6 Colorful - Accent 4"/>
    <w:basedOn w:val="84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09" w:customStyle="1">
    <w:name w:val="Grid Table 6 Colorful - Accent 5"/>
    <w:basedOn w:val="84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10" w:customStyle="1">
    <w:name w:val="Grid Table 6 Colorful - Accent 6"/>
    <w:basedOn w:val="84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11">
    <w:name w:val="Grid Table 7 Colorful"/>
    <w:basedOn w:val="84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2" w:customStyle="1">
    <w:name w:val="Grid Table 7 Colorful - Accent 1"/>
    <w:basedOn w:val="84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Grid Table 7 Colorful - Accent 2"/>
    <w:basedOn w:val="84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Grid Table 7 Colorful - Accent 3"/>
    <w:basedOn w:val="84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Grid Table 7 Colorful - Accent 4"/>
    <w:basedOn w:val="84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Grid Table 7 Colorful - Accent 5"/>
    <w:basedOn w:val="84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Grid Table 7 Colorful - Accent 6"/>
    <w:basedOn w:val="84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>
    <w:name w:val="List Table 1 Light"/>
    <w:basedOn w:val="84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1"/>
    <w:basedOn w:val="844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2"/>
    <w:basedOn w:val="84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3"/>
    <w:basedOn w:val="84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4"/>
    <w:basedOn w:val="84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5"/>
    <w:basedOn w:val="844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6"/>
    <w:basedOn w:val="84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2"/>
    <w:basedOn w:val="84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1"/>
    <w:basedOn w:val="84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2"/>
    <w:basedOn w:val="84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3"/>
    <w:basedOn w:val="84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4"/>
    <w:basedOn w:val="84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5"/>
    <w:basedOn w:val="84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6"/>
    <w:basedOn w:val="84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2">
    <w:name w:val="List Table 3"/>
    <w:basedOn w:val="8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1"/>
    <w:basedOn w:val="84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2"/>
    <w:basedOn w:val="84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3"/>
    <w:basedOn w:val="84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4"/>
    <w:basedOn w:val="84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5"/>
    <w:basedOn w:val="84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6"/>
    <w:basedOn w:val="84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"/>
    <w:basedOn w:val="84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1"/>
    <w:basedOn w:val="84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2"/>
    <w:basedOn w:val="84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3"/>
    <w:basedOn w:val="84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4"/>
    <w:basedOn w:val="84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5"/>
    <w:basedOn w:val="84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6"/>
    <w:basedOn w:val="84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5 Dark"/>
    <w:basedOn w:val="84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1"/>
    <w:basedOn w:val="84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2"/>
    <w:basedOn w:val="84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3"/>
    <w:basedOn w:val="84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4"/>
    <w:basedOn w:val="84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5"/>
    <w:basedOn w:val="84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6"/>
    <w:basedOn w:val="84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>
    <w:name w:val="List Table 6 Colorful"/>
    <w:basedOn w:val="84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4" w:customStyle="1">
    <w:name w:val="List Table 6 Colorful - Accent 1"/>
    <w:basedOn w:val="84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55" w:customStyle="1">
    <w:name w:val="List Table 6 Colorful - Accent 2"/>
    <w:basedOn w:val="84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6" w:customStyle="1">
    <w:name w:val="List Table 6 Colorful - Accent 3"/>
    <w:basedOn w:val="84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7" w:customStyle="1">
    <w:name w:val="List Table 6 Colorful - Accent 4"/>
    <w:basedOn w:val="84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58" w:customStyle="1">
    <w:name w:val="List Table 6 Colorful - Accent 5"/>
    <w:basedOn w:val="84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59" w:customStyle="1">
    <w:name w:val="List Table 6 Colorful - Accent 6"/>
    <w:basedOn w:val="84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60">
    <w:name w:val="List Table 7 Colorful"/>
    <w:basedOn w:val="84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1" w:customStyle="1">
    <w:name w:val="List Table 7 Colorful - Accent 1"/>
    <w:basedOn w:val="84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2" w:customStyle="1">
    <w:name w:val="List Table 7 Colorful - Accent 2"/>
    <w:basedOn w:val="84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3" w:customStyle="1">
    <w:name w:val="List Table 7 Colorful - Accent 3"/>
    <w:basedOn w:val="84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4" w:customStyle="1">
    <w:name w:val="List Table 7 Colorful - Accent 4"/>
    <w:basedOn w:val="84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5" w:customStyle="1">
    <w:name w:val="List Table 7 Colorful - Accent 5"/>
    <w:basedOn w:val="84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6" w:customStyle="1">
    <w:name w:val="List Table 7 Colorful - Accent 6"/>
    <w:basedOn w:val="84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67" w:customStyle="1">
    <w:name w:val="Lined - Accent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8" w:customStyle="1">
    <w:name w:val="Lined - Accent 1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69" w:customStyle="1">
    <w:name w:val="Lined - Accent 2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0" w:customStyle="1">
    <w:name w:val="Lined - Accent 3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1" w:customStyle="1">
    <w:name w:val="Lined - Accent 4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2" w:customStyle="1">
    <w:name w:val="Lined - Accent 5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73" w:customStyle="1">
    <w:name w:val="Lined - Accent 6"/>
    <w:basedOn w:val="84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4" w:customStyle="1">
    <w:name w:val="Bordered &amp; Lined - Accent"/>
    <w:basedOn w:val="84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5" w:customStyle="1">
    <w:name w:val="Bordered &amp; Lined - Accent 1"/>
    <w:basedOn w:val="84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76" w:customStyle="1">
    <w:name w:val="Bordered &amp; Lined - Accent 2"/>
    <w:basedOn w:val="84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7" w:customStyle="1">
    <w:name w:val="Bordered &amp; Lined - Accent 3"/>
    <w:basedOn w:val="84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8" w:customStyle="1">
    <w:name w:val="Bordered &amp; Lined - Accent 4"/>
    <w:basedOn w:val="84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9" w:customStyle="1">
    <w:name w:val="Bordered &amp; Lined - Accent 5"/>
    <w:basedOn w:val="84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80" w:customStyle="1">
    <w:name w:val="Bordered &amp; Lined - Accent 6"/>
    <w:basedOn w:val="84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1" w:customStyle="1">
    <w:name w:val="Bordered"/>
    <w:basedOn w:val="84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2" w:customStyle="1">
    <w:name w:val="Bordered - Accent 1"/>
    <w:basedOn w:val="84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83" w:customStyle="1">
    <w:name w:val="Bordered - Accent 2"/>
    <w:basedOn w:val="84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4" w:customStyle="1">
    <w:name w:val="Bordered - Accent 3"/>
    <w:basedOn w:val="84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5" w:customStyle="1">
    <w:name w:val="Bordered - Accent 4"/>
    <w:basedOn w:val="84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6" w:customStyle="1">
    <w:name w:val="Bordered - Accent 5"/>
    <w:basedOn w:val="84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87" w:customStyle="1">
    <w:name w:val="Bordered - Accent 6"/>
    <w:basedOn w:val="84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88" w:customStyle="1">
    <w:name w:val="Footnote Text Char"/>
    <w:uiPriority w:val="99"/>
    <w:rPr>
      <w:sz w:val="18"/>
    </w:rPr>
  </w:style>
  <w:style w:type="character" w:styleId="989" w:customStyle="1">
    <w:name w:val="Endnote Text Char"/>
    <w:uiPriority w:val="99"/>
    <w:rPr>
      <w:sz w:val="20"/>
    </w:rPr>
  </w:style>
  <w:style w:type="paragraph" w:styleId="990">
    <w:name w:val="table of figures"/>
    <w:basedOn w:val="833"/>
    <w:next w:val="833"/>
    <w:uiPriority w:val="99"/>
    <w:unhideWhenUsed/>
  </w:style>
  <w:style w:type="paragraph" w:styleId="991" w:customStyle="1">
    <w:name w:val="Название раздела инструкции"/>
    <w:basedOn w:val="833"/>
    <w:pPr>
      <w:jc w:val="center"/>
    </w:pPr>
    <w:rPr>
      <w:b/>
    </w:rPr>
  </w:style>
  <w:style w:type="paragraph" w:styleId="992" w:customStyle="1">
    <w:name w:val="Раздел положения"/>
    <w:basedOn w:val="83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93" w:customStyle="1">
    <w:name w:val="Подраздел раздела положения"/>
    <w:basedOn w:val="833"/>
    <w:pPr>
      <w:numPr>
        <w:ilvl w:val="1"/>
        <w:numId w:val="1"/>
      </w:numPr>
      <w:jc w:val="both"/>
      <w:spacing w:before="80" w:after="80"/>
    </w:pPr>
  </w:style>
  <w:style w:type="paragraph" w:styleId="994">
    <w:name w:val="footnote text"/>
    <w:basedOn w:val="833"/>
    <w:link w:val="1068"/>
    <w:uiPriority w:val="99"/>
    <w:rPr>
      <w:sz w:val="20"/>
      <w:szCs w:val="20"/>
    </w:rPr>
  </w:style>
  <w:style w:type="character" w:styleId="995">
    <w:name w:val="footnote reference"/>
    <w:uiPriority w:val="99"/>
    <w:rPr>
      <w:vertAlign w:val="superscript"/>
    </w:rPr>
  </w:style>
  <w:style w:type="paragraph" w:styleId="996" w:customStyle="1">
    <w:name w:val="Шапка 1"/>
    <w:basedOn w:val="83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97" w:customStyle="1">
    <w:name w:val="Шапка 2"/>
    <w:basedOn w:val="83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98" w:customStyle="1">
    <w:name w:val="Шапка 3"/>
    <w:basedOn w:val="83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99" w:customStyle="1">
    <w:name w:val="Название1"/>
    <w:basedOn w:val="833"/>
    <w:link w:val="1041"/>
    <w:uiPriority w:val="10"/>
    <w:qFormat/>
    <w:pPr>
      <w:jc w:val="center"/>
    </w:pPr>
    <w:rPr>
      <w:szCs w:val="20"/>
    </w:rPr>
  </w:style>
  <w:style w:type="paragraph" w:styleId="1000">
    <w:name w:val="Header"/>
    <w:basedOn w:val="833"/>
    <w:link w:val="108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01">
    <w:name w:val="Body Text Indent"/>
    <w:basedOn w:val="833"/>
    <w:pPr>
      <w:ind w:left="360"/>
    </w:pPr>
    <w:rPr>
      <w:sz w:val="24"/>
      <w:szCs w:val="24"/>
    </w:rPr>
  </w:style>
  <w:style w:type="table" w:styleId="1002">
    <w:name w:val="Table Grid"/>
    <w:basedOn w:val="84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3">
    <w:name w:val="Footer"/>
    <w:basedOn w:val="833"/>
    <w:link w:val="861"/>
    <w:pPr>
      <w:tabs>
        <w:tab w:val="center" w:pos="4677" w:leader="none"/>
        <w:tab w:val="right" w:pos="9355" w:leader="none"/>
      </w:tabs>
    </w:pPr>
  </w:style>
  <w:style w:type="paragraph" w:styleId="1004">
    <w:name w:val="Body Text"/>
    <w:basedOn w:val="833"/>
    <w:link w:val="1071"/>
    <w:pPr>
      <w:spacing w:after="120"/>
    </w:pPr>
  </w:style>
  <w:style w:type="paragraph" w:styleId="1005">
    <w:name w:val="Body Text Indent 2"/>
    <w:basedOn w:val="833"/>
    <w:pPr>
      <w:ind w:left="283"/>
      <w:spacing w:after="120" w:line="480" w:lineRule="auto"/>
    </w:pPr>
  </w:style>
  <w:style w:type="paragraph" w:styleId="1006">
    <w:name w:val="Body Text 3"/>
    <w:basedOn w:val="833"/>
    <w:pPr>
      <w:spacing w:after="120"/>
    </w:pPr>
    <w:rPr>
      <w:sz w:val="16"/>
      <w:szCs w:val="16"/>
    </w:rPr>
  </w:style>
  <w:style w:type="paragraph" w:styleId="1007">
    <w:name w:val="Body Text Indent 3"/>
    <w:basedOn w:val="833"/>
    <w:link w:val="1102"/>
    <w:pPr>
      <w:ind w:left="283"/>
      <w:spacing w:after="120"/>
    </w:pPr>
    <w:rPr>
      <w:sz w:val="16"/>
      <w:szCs w:val="16"/>
    </w:rPr>
  </w:style>
  <w:style w:type="paragraph" w:styleId="1008">
    <w:name w:val="Body Text 2"/>
    <w:basedOn w:val="833"/>
    <w:pPr>
      <w:spacing w:after="120" w:line="480" w:lineRule="auto"/>
    </w:pPr>
  </w:style>
  <w:style w:type="paragraph" w:styleId="1009">
    <w:name w:val="Block Text"/>
    <w:basedOn w:val="833"/>
    <w:pPr>
      <w:ind w:left="-567" w:right="-766"/>
      <w:jc w:val="center"/>
    </w:pPr>
    <w:rPr>
      <w:b/>
      <w:bCs/>
      <w:sz w:val="24"/>
      <w:szCs w:val="20"/>
    </w:rPr>
  </w:style>
  <w:style w:type="paragraph" w:styleId="1010" w:customStyle="1">
    <w:name w:val="Подпункт"/>
    <w:basedOn w:val="833"/>
    <w:link w:val="106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11" w:customStyle="1">
    <w:name w:val="Пункт2"/>
    <w:basedOn w:val="833"/>
    <w:link w:val="109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12">
    <w:name w:val="page number"/>
    <w:basedOn w:val="843"/>
  </w:style>
  <w:style w:type="paragraph" w:styleId="1013">
    <w:name w:val="toc 1"/>
    <w:basedOn w:val="833"/>
    <w:next w:val="83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14">
    <w:name w:val="toc 3"/>
    <w:basedOn w:val="833"/>
    <w:next w:val="833"/>
    <w:uiPriority w:val="39"/>
    <w:pPr>
      <w:ind w:left="280"/>
    </w:pPr>
    <w:rPr>
      <w:rFonts w:cstheme="minorHAnsi"/>
      <w:sz w:val="20"/>
      <w:szCs w:val="20"/>
    </w:rPr>
  </w:style>
  <w:style w:type="character" w:styleId="1015">
    <w:name w:val="Hyperlink"/>
    <w:uiPriority w:val="99"/>
    <w:rPr>
      <w:color w:val="0000ff"/>
      <w:u w:val="single"/>
    </w:rPr>
  </w:style>
  <w:style w:type="paragraph" w:styleId="1016" w:customStyle="1">
    <w:name w:val="Раздел регламента"/>
    <w:basedOn w:val="833"/>
  </w:style>
  <w:style w:type="paragraph" w:styleId="1017" w:customStyle="1">
    <w:name w:val="Приложение к регламенту"/>
    <w:basedOn w:val="833"/>
    <w:pPr>
      <w:jc w:val="right"/>
    </w:pPr>
  </w:style>
  <w:style w:type="paragraph" w:styleId="1018">
    <w:name w:val="toc 2"/>
    <w:basedOn w:val="833"/>
    <w:next w:val="83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19">
    <w:name w:val="Balloon Text"/>
    <w:basedOn w:val="833"/>
    <w:semiHidden/>
    <w:rPr>
      <w:rFonts w:ascii="Tahoma" w:hAnsi="Tahoma" w:cs="Tahoma"/>
      <w:sz w:val="16"/>
      <w:szCs w:val="16"/>
    </w:rPr>
  </w:style>
  <w:style w:type="character" w:styleId="1020">
    <w:name w:val="annotation reference"/>
    <w:uiPriority w:val="99"/>
    <w:semiHidden/>
    <w:rPr>
      <w:sz w:val="16"/>
      <w:szCs w:val="16"/>
    </w:rPr>
  </w:style>
  <w:style w:type="paragraph" w:styleId="1021">
    <w:name w:val="annotation text"/>
    <w:basedOn w:val="833"/>
    <w:link w:val="1086"/>
    <w:rPr>
      <w:sz w:val="20"/>
      <w:szCs w:val="20"/>
    </w:rPr>
  </w:style>
  <w:style w:type="paragraph" w:styleId="1022">
    <w:name w:val="annotation subject"/>
    <w:basedOn w:val="1021"/>
    <w:next w:val="1021"/>
    <w:semiHidden/>
    <w:rPr>
      <w:b/>
      <w:bCs/>
    </w:rPr>
  </w:style>
  <w:style w:type="paragraph" w:styleId="1023" w:customStyle="1">
    <w:name w:val="Обычный (веб)1"/>
    <w:basedOn w:val="83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24">
    <w:name w:val="toc 9"/>
    <w:basedOn w:val="833"/>
    <w:next w:val="83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25">
    <w:name w:val="toc 5"/>
    <w:basedOn w:val="833"/>
    <w:next w:val="83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26">
    <w:name w:val="toc 4"/>
    <w:basedOn w:val="833"/>
    <w:next w:val="833"/>
    <w:uiPriority w:val="39"/>
    <w:pPr>
      <w:ind w:left="560"/>
      <w:tabs>
        <w:tab w:val="left" w:pos="1120" w:leader="none"/>
        <w:tab w:val="right" w:pos="9911" w:leader="dot"/>
      </w:tabs>
    </w:pPr>
    <w:rPr>
      <w:rFonts w:cstheme="minorHAnsi"/>
      <w:iCs/>
      <w:sz w:val="20"/>
      <w:szCs w:val="20"/>
    </w:rPr>
  </w:style>
  <w:style w:type="paragraph" w:styleId="1027" w:customStyle="1">
    <w:name w:val="Раздел положения 2"/>
    <w:basedOn w:val="833"/>
    <w:pPr>
      <w:jc w:val="both"/>
      <w:pageBreakBefore/>
      <w:outlineLvl w:val="0"/>
    </w:pPr>
    <w:rPr>
      <w:b/>
    </w:rPr>
  </w:style>
  <w:style w:type="character" w:styleId="1028">
    <w:name w:val="Strong"/>
    <w:qFormat/>
    <w:rPr>
      <w:b/>
      <w:bCs/>
    </w:rPr>
  </w:style>
  <w:style w:type="character" w:styleId="1029" w:customStyle="1">
    <w:name w:val="Заголовок 6 Знак"/>
    <w:link w:val="839"/>
    <w:uiPriority w:val="9"/>
    <w:rPr>
      <w:rFonts w:ascii="Cambria" w:hAnsi="Cambria"/>
      <w:i/>
      <w:iCs/>
      <w:color w:val="243f60"/>
    </w:rPr>
  </w:style>
  <w:style w:type="character" w:styleId="1030" w:customStyle="1">
    <w:name w:val="Заголовок 7 Знак"/>
    <w:link w:val="840"/>
    <w:uiPriority w:val="9"/>
    <w:rPr>
      <w:rFonts w:ascii="Cambria" w:hAnsi="Cambria"/>
      <w:i/>
      <w:iCs/>
      <w:color w:val="404040"/>
    </w:rPr>
  </w:style>
  <w:style w:type="character" w:styleId="1031" w:customStyle="1">
    <w:name w:val="Заголовок 8 Знак"/>
    <w:link w:val="841"/>
    <w:uiPriority w:val="9"/>
    <w:rPr>
      <w:rFonts w:ascii="Cambria" w:hAnsi="Cambria"/>
      <w:color w:val="4f81bd"/>
    </w:rPr>
  </w:style>
  <w:style w:type="character" w:styleId="1032" w:customStyle="1">
    <w:name w:val="Заголовок 1 Знак"/>
    <w:link w:val="834"/>
    <w:rPr>
      <w:rFonts w:eastAsia="Calibri"/>
      <w:b/>
      <w:sz w:val="28"/>
      <w:szCs w:val="28"/>
    </w:rPr>
  </w:style>
  <w:style w:type="paragraph" w:styleId="1033" w:customStyle="1">
    <w:name w:val="Знак Знак Знак Знак Знак Знак Знак Знак Знак"/>
    <w:basedOn w:val="83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34" w:customStyle="1">
    <w:name w:val="Заголовок 2 Знак"/>
    <w:link w:val="835"/>
    <w:uiPriority w:val="9"/>
    <w:rPr>
      <w:rFonts w:eastAsia="Calibri"/>
      <w:b/>
      <w:bCs/>
      <w:sz w:val="24"/>
      <w:szCs w:val="24"/>
    </w:rPr>
  </w:style>
  <w:style w:type="character" w:styleId="1035" w:customStyle="1">
    <w:name w:val="Заголовок 3 Знак"/>
    <w:link w:val="836"/>
    <w:rPr>
      <w:rFonts w:eastAsia="Calibri"/>
      <w:b/>
      <w:sz w:val="24"/>
      <w:szCs w:val="24"/>
    </w:rPr>
  </w:style>
  <w:style w:type="character" w:styleId="1036" w:customStyle="1">
    <w:name w:val="Заголовок 4 Знак"/>
    <w:link w:val="837"/>
    <w:rPr>
      <w:rFonts w:eastAsia="Calibri"/>
      <w:b/>
      <w:bCs/>
      <w:sz w:val="24"/>
      <w:szCs w:val="24"/>
    </w:rPr>
  </w:style>
  <w:style w:type="character" w:styleId="1037" w:customStyle="1">
    <w:name w:val="Заголовок 5 Знак"/>
    <w:link w:val="838"/>
    <w:uiPriority w:val="9"/>
    <w:rPr>
      <w:b/>
      <w:bCs/>
      <w:i/>
      <w:iCs/>
      <w:sz w:val="26"/>
      <w:szCs w:val="26"/>
    </w:rPr>
  </w:style>
  <w:style w:type="character" w:styleId="1038" w:customStyle="1">
    <w:name w:val="Заголовок 9 Знак"/>
    <w:link w:val="842"/>
    <w:uiPriority w:val="9"/>
    <w:rPr>
      <w:rFonts w:ascii="Arial" w:hAnsi="Arial" w:cs="Arial"/>
      <w:sz w:val="22"/>
      <w:szCs w:val="22"/>
    </w:rPr>
  </w:style>
  <w:style w:type="paragraph" w:styleId="1039">
    <w:name w:val="No Spacing"/>
    <w:basedOn w:val="83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0">
    <w:name w:val="Caption"/>
    <w:basedOn w:val="833"/>
    <w:next w:val="833"/>
    <w:link w:val="862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41" w:customStyle="1">
    <w:name w:val="Название Знак"/>
    <w:link w:val="999"/>
    <w:uiPriority w:val="10"/>
    <w:rPr>
      <w:sz w:val="28"/>
    </w:rPr>
  </w:style>
  <w:style w:type="paragraph" w:styleId="1042">
    <w:name w:val="Subtitle"/>
    <w:basedOn w:val="833"/>
    <w:next w:val="833"/>
    <w:link w:val="104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3" w:customStyle="1">
    <w:name w:val="Подзаголовок Знак"/>
    <w:link w:val="104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44">
    <w:name w:val="Emphasis"/>
    <w:uiPriority w:val="20"/>
    <w:qFormat/>
    <w:rPr>
      <w:i/>
      <w:iCs/>
    </w:rPr>
  </w:style>
  <w:style w:type="paragraph" w:styleId="1045">
    <w:name w:val="List Paragraph"/>
    <w:basedOn w:val="833"/>
    <w:link w:val="107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46">
    <w:name w:val="Quote"/>
    <w:basedOn w:val="833"/>
    <w:next w:val="833"/>
    <w:link w:val="104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47" w:customStyle="1">
    <w:name w:val="Цитата 2 Знак"/>
    <w:link w:val="1046"/>
    <w:uiPriority w:val="29"/>
    <w:rPr>
      <w:rFonts w:ascii="Calibri" w:hAnsi="Calibri" w:eastAsia="Calibri"/>
      <w:i/>
      <w:iCs/>
      <w:color w:val="000000"/>
    </w:rPr>
  </w:style>
  <w:style w:type="paragraph" w:styleId="1048">
    <w:name w:val="Intense Quote"/>
    <w:basedOn w:val="833"/>
    <w:next w:val="833"/>
    <w:link w:val="104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49" w:customStyle="1">
    <w:name w:val="Выделенная цитата Знак"/>
    <w:link w:val="104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0">
    <w:name w:val="Subtle Emphasis"/>
    <w:uiPriority w:val="19"/>
    <w:qFormat/>
    <w:rPr>
      <w:i/>
      <w:iCs/>
      <w:color w:val="808080"/>
    </w:rPr>
  </w:style>
  <w:style w:type="character" w:styleId="1051">
    <w:name w:val="Intense Emphasis"/>
    <w:uiPriority w:val="21"/>
    <w:qFormat/>
    <w:rPr>
      <w:b/>
      <w:bCs/>
      <w:i/>
      <w:iCs/>
      <w:color w:val="4f81bd"/>
    </w:rPr>
  </w:style>
  <w:style w:type="character" w:styleId="1052">
    <w:name w:val="Subtle Reference"/>
    <w:uiPriority w:val="31"/>
    <w:qFormat/>
    <w:rPr>
      <w:smallCaps/>
      <w:color w:val="c0504d"/>
      <w:u w:val="single"/>
    </w:rPr>
  </w:style>
  <w:style w:type="character" w:styleId="105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54">
    <w:name w:val="Book Title"/>
    <w:uiPriority w:val="33"/>
    <w:qFormat/>
    <w:rPr>
      <w:b/>
      <w:bCs/>
      <w:smallCaps/>
      <w:spacing w:val="5"/>
    </w:rPr>
  </w:style>
  <w:style w:type="paragraph" w:styleId="1055">
    <w:name w:val="TOC Heading"/>
    <w:basedOn w:val="834"/>
    <w:next w:val="83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56">
    <w:name w:val="E-mail Signature"/>
    <w:basedOn w:val="833"/>
    <w:link w:val="1057"/>
    <w:uiPriority w:val="99"/>
    <w:unhideWhenUsed/>
    <w:rPr>
      <w:rFonts w:eastAsia="Calibri"/>
      <w:sz w:val="24"/>
      <w:szCs w:val="24"/>
    </w:rPr>
  </w:style>
  <w:style w:type="character" w:styleId="1057" w:customStyle="1">
    <w:name w:val="Электронная подпись Знак"/>
    <w:link w:val="1056"/>
    <w:uiPriority w:val="99"/>
    <w:rPr>
      <w:rFonts w:eastAsia="Calibri"/>
      <w:sz w:val="24"/>
      <w:szCs w:val="24"/>
    </w:rPr>
  </w:style>
  <w:style w:type="paragraph" w:styleId="1058" w:customStyle="1">
    <w:name w:val="Знак"/>
    <w:basedOn w:val="83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9" w:customStyle="1">
    <w:name w:val="Нумерованный список ур3"/>
    <w:basedOn w:val="83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0" w:customStyle="1">
    <w:name w:val="Нумерованный список 1"/>
    <w:basedOn w:val="83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1" w:customStyle="1">
    <w:name w:val="Нумерованный список ур2"/>
    <w:basedOn w:val="83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62">
    <w:name w:val="Revision"/>
    <w:hidden/>
    <w:uiPriority w:val="99"/>
    <w:semiHidden/>
    <w:rPr>
      <w:rFonts w:eastAsia="Calibri"/>
      <w:sz w:val="24"/>
      <w:szCs w:val="24"/>
    </w:rPr>
  </w:style>
  <w:style w:type="paragraph" w:styleId="10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64" w:customStyle="1">
    <w:name w:val="Знак Знак3 Знак Знак"/>
    <w:basedOn w:val="83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65" w:customStyle="1">
    <w:name w:val="Пункт"/>
    <w:basedOn w:val="83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66" w:customStyle="1">
    <w:name w:val="Подпункт Знак1"/>
    <w:link w:val="1010"/>
    <w:rPr>
      <w:sz w:val="28"/>
    </w:rPr>
  </w:style>
  <w:style w:type="paragraph" w:styleId="1067" w:customStyle="1">
    <w:name w:val="Абзац списка1"/>
    <w:basedOn w:val="83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68" w:customStyle="1">
    <w:name w:val="Текст сноски Знак"/>
    <w:link w:val="994"/>
    <w:uiPriority w:val="99"/>
  </w:style>
  <w:style w:type="numbering" w:styleId="1069" w:customStyle="1">
    <w:name w:val="Стиль1"/>
    <w:uiPriority w:val="99"/>
    <w:pPr>
      <w:numPr>
        <w:ilvl w:val="0"/>
        <w:numId w:val="3"/>
      </w:numPr>
    </w:pPr>
  </w:style>
  <w:style w:type="paragraph" w:styleId="1070" w:customStyle="1">
    <w:name w:val="Таблица"/>
    <w:basedOn w:val="83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71" w:customStyle="1">
    <w:name w:val="Основной текст Знак"/>
    <w:link w:val="1004"/>
    <w:rPr>
      <w:sz w:val="28"/>
      <w:szCs w:val="28"/>
    </w:rPr>
  </w:style>
  <w:style w:type="character" w:styleId="1072" w:customStyle="1">
    <w:name w:val="blk"/>
  </w:style>
  <w:style w:type="numbering" w:styleId="1073" w:customStyle="1">
    <w:name w:val="Стиль2"/>
    <w:uiPriority w:val="99"/>
    <w:pPr>
      <w:numPr>
        <w:ilvl w:val="0"/>
        <w:numId w:val="5"/>
      </w:numPr>
    </w:pPr>
  </w:style>
  <w:style w:type="paragraph" w:styleId="1074" w:customStyle="1">
    <w:name w:val="Таблица шапка"/>
    <w:basedOn w:val="833"/>
    <w:pPr>
      <w:ind w:left="57" w:right="57"/>
      <w:keepNext/>
      <w:spacing w:before="40" w:after="40"/>
    </w:pPr>
    <w:rPr>
      <w:sz w:val="22"/>
      <w:szCs w:val="26"/>
    </w:rPr>
  </w:style>
  <w:style w:type="character" w:styleId="1075" w:customStyle="1">
    <w:name w:val="Абзац списка Знак"/>
    <w:link w:val="1045"/>
    <w:uiPriority w:val="34"/>
    <w:rPr>
      <w:rFonts w:eastAsia="Calibri"/>
      <w:sz w:val="24"/>
      <w:szCs w:val="24"/>
    </w:rPr>
  </w:style>
  <w:style w:type="character" w:styleId="1076" w:customStyle="1">
    <w:name w:val="комментарий"/>
    <w:rPr>
      <w:b/>
      <w:i/>
      <w:shd w:val="clear" w:color="auto" w:fill="ffff99"/>
    </w:rPr>
  </w:style>
  <w:style w:type="paragraph" w:styleId="1077" w:customStyle="1">
    <w:name w:val="Подподпункт"/>
    <w:basedOn w:val="1010"/>
    <w:link w:val="107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78" w:customStyle="1">
    <w:name w:val="Подподпункт Знак"/>
    <w:link w:val="1077"/>
    <w:rPr>
      <w:sz w:val="26"/>
      <w:szCs w:val="26"/>
    </w:rPr>
  </w:style>
  <w:style w:type="paragraph" w:styleId="1079" w:customStyle="1">
    <w:name w:val="УРОВЕНЬ_(а)"/>
    <w:basedOn w:val="104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0" w:customStyle="1">
    <w:name w:val="УРОВЕНЬ_-"/>
    <w:basedOn w:val="104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81" w:customStyle="1">
    <w:name w:val="УРОВЕНЬ_Абзац_тип2"/>
    <w:basedOn w:val="104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2" w:customStyle="1">
    <w:name w:val="УРОВЕНЬ_Абзац_тип3"/>
    <w:basedOn w:val="1045"/>
    <w:link w:val="108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83" w:customStyle="1">
    <w:name w:val="УРОВЕНЬ_Подпись"/>
    <w:basedOn w:val="104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84" w:customStyle="1">
    <w:name w:val="УРОВЕНЬ_Абзац_тип3 Знак"/>
    <w:link w:val="1082"/>
    <w:rPr>
      <w:rFonts w:eastAsia="Calibri"/>
      <w:sz w:val="26"/>
      <w:szCs w:val="28"/>
      <w:lang w:eastAsia="en-US"/>
    </w:rPr>
  </w:style>
  <w:style w:type="character" w:styleId="1085" w:customStyle="1">
    <w:name w:val="Верхний колонтитул Знак"/>
    <w:link w:val="1000"/>
    <w:uiPriority w:val="99"/>
    <w:rPr>
      <w:sz w:val="24"/>
      <w:szCs w:val="24"/>
    </w:rPr>
  </w:style>
  <w:style w:type="character" w:styleId="1086" w:customStyle="1">
    <w:name w:val="Текст примечания Знак"/>
    <w:link w:val="1021"/>
  </w:style>
  <w:style w:type="paragraph" w:styleId="1087" w:customStyle="1">
    <w:name w:val="Стиль Заголовок 1 + по ширине"/>
    <w:basedOn w:val="83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88">
    <w:name w:val="endnote text"/>
    <w:basedOn w:val="833"/>
    <w:link w:val="1089"/>
    <w:rPr>
      <w:sz w:val="20"/>
      <w:szCs w:val="20"/>
    </w:rPr>
  </w:style>
  <w:style w:type="character" w:styleId="1089" w:customStyle="1">
    <w:name w:val="Текст концевой сноски Знак"/>
    <w:basedOn w:val="843"/>
    <w:link w:val="1088"/>
  </w:style>
  <w:style w:type="character" w:styleId="1090">
    <w:name w:val="endnote reference"/>
    <w:basedOn w:val="843"/>
    <w:rPr>
      <w:vertAlign w:val="superscript"/>
    </w:rPr>
  </w:style>
  <w:style w:type="paragraph" w:styleId="1091" w:customStyle="1">
    <w:name w:val="Заголовок 2 КВВ"/>
    <w:basedOn w:val="83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92" w:customStyle="1">
    <w:name w:val="Пункт2 Знак"/>
    <w:link w:val="1011"/>
    <w:rPr>
      <w:b/>
      <w:sz w:val="28"/>
    </w:rPr>
  </w:style>
  <w:style w:type="paragraph" w:styleId="1093" w:customStyle="1">
    <w:name w:val="Таблица текст"/>
    <w:basedOn w:val="833"/>
    <w:pPr>
      <w:ind w:left="57" w:right="57"/>
      <w:spacing w:before="40" w:after="40"/>
    </w:pPr>
    <w:rPr>
      <w:sz w:val="24"/>
      <w:szCs w:val="26"/>
    </w:rPr>
  </w:style>
  <w:style w:type="paragraph" w:styleId="1094">
    <w:name w:val="Normal (Web)"/>
    <w:basedOn w:val="83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95" w:customStyle="1">
    <w:name w:val="УРОВЕНЬ_1."/>
    <w:basedOn w:val="1045"/>
    <w:link w:val="109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96" w:customStyle="1">
    <w:name w:val="УРОВЕНЬ_1. Знак"/>
    <w:link w:val="1095"/>
    <w:rPr>
      <w:rFonts w:eastAsia="Calibri"/>
      <w:caps/>
      <w:sz w:val="28"/>
      <w:szCs w:val="28"/>
      <w:lang w:eastAsia="en-US"/>
    </w:rPr>
  </w:style>
  <w:style w:type="table" w:styleId="1097" w:customStyle="1">
    <w:name w:val="Сетка таблицы1"/>
    <w:basedOn w:val="844"/>
    <w:next w:val="100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98">
    <w:name w:val="toc 6"/>
    <w:basedOn w:val="833"/>
    <w:next w:val="83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99">
    <w:name w:val="toc 7"/>
    <w:basedOn w:val="833"/>
    <w:next w:val="83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0">
    <w:name w:val="toc 8"/>
    <w:basedOn w:val="833"/>
    <w:next w:val="83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01" w:customStyle="1">
    <w:name w:val="Неразрешенное упоминание1"/>
    <w:basedOn w:val="843"/>
    <w:uiPriority w:val="99"/>
    <w:semiHidden/>
    <w:unhideWhenUsed/>
    <w:rPr>
      <w:color w:val="605e5c"/>
      <w:shd w:val="clear" w:color="auto" w:fill="e1dfdd"/>
    </w:rPr>
  </w:style>
  <w:style w:type="character" w:styleId="1102" w:customStyle="1">
    <w:name w:val="Основной текст с отступом 3 Знак"/>
    <w:link w:val="1007"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://docs.cntd.ru/document/1200095744" TargetMode="External"/><Relationship Id="rId17" Type="http://schemas.openxmlformats.org/officeDocument/2006/relationships/hyperlink" Target="http://www.rushydro.ru/upload/iblock/5d0/Tehnicheskaya-politika.pdf" TargetMode="External"/><Relationship Id="rId18" Type="http://schemas.openxmlformats.org/officeDocument/2006/relationships/hyperlink" Target="http://www.rushydro.ru/upload/iblock/d86/STO-RusGidro-01.01.78-2012_Normi-tehnologicheskogo-proektirovaniya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525FF-3B23-4903-ABC6-279AFFA2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korneva_oa</cp:lastModifiedBy>
  <cp:revision>140</cp:revision>
  <dcterms:created xsi:type="dcterms:W3CDTF">2021-04-04T09:36:00Z</dcterms:created>
  <dcterms:modified xsi:type="dcterms:W3CDTF">2026-03-29T23:23:23Z</dcterms:modified>
</cp:coreProperties>
</file>